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1E43" w14:textId="7EEFD9AC" w:rsidR="00924D64" w:rsidRDefault="00D7183D" w:rsidP="00744FB6">
      <w:pPr>
        <w:spacing w:line="276" w:lineRule="auto"/>
        <w:jc w:val="both"/>
        <w:rPr>
          <w:rFonts w:ascii="Arial" w:eastAsia="Arial" w:hAnsi="Arial" w:cs="Arial"/>
          <w:bCs/>
          <w:sz w:val="20"/>
          <w:szCs w:val="20"/>
        </w:rPr>
      </w:pPr>
      <w:r>
        <w:rPr>
          <w:noProof/>
        </w:rPr>
        <w:drawing>
          <wp:anchor distT="0" distB="0" distL="114300" distR="114300" simplePos="0" relativeHeight="251659264" behindDoc="1" locked="0" layoutInCell="1" allowOverlap="1" wp14:anchorId="651CBAC0" wp14:editId="527E9026">
            <wp:simplePos x="0" y="0"/>
            <wp:positionH relativeFrom="page">
              <wp:align>left</wp:align>
            </wp:positionH>
            <wp:positionV relativeFrom="page">
              <wp:align>top</wp:align>
            </wp:positionV>
            <wp:extent cx="7784465" cy="10074275"/>
            <wp:effectExtent l="0" t="0" r="6985" b="3175"/>
            <wp:wrapNone/>
            <wp:docPr id="818171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7114" name="Imagen 2"/>
                    <pic:cNvPicPr/>
                  </pic:nvPicPr>
                  <pic:blipFill>
                    <a:blip r:embed="rId8">
                      <a:extLst>
                        <a:ext uri="{28A0092B-C50C-407E-A947-70E740481C1C}">
                          <a14:useLocalDpi xmlns:a14="http://schemas.microsoft.com/office/drawing/2010/main" val="0"/>
                        </a:ext>
                      </a:extLst>
                    </a:blip>
                    <a:stretch>
                      <a:fillRect/>
                    </a:stretch>
                  </pic:blipFill>
                  <pic:spPr>
                    <a:xfrm>
                      <a:off x="0" y="0"/>
                      <a:ext cx="7784465" cy="10074275"/>
                    </a:xfrm>
                    <a:prstGeom prst="rect">
                      <a:avLst/>
                    </a:prstGeom>
                  </pic:spPr>
                </pic:pic>
              </a:graphicData>
            </a:graphic>
            <wp14:sizeRelH relativeFrom="page">
              <wp14:pctWidth>0</wp14:pctWidth>
            </wp14:sizeRelH>
            <wp14:sizeRelV relativeFrom="page">
              <wp14:pctHeight>0</wp14:pctHeight>
            </wp14:sizeRelV>
          </wp:anchor>
        </w:drawing>
      </w:r>
    </w:p>
    <w:p w14:paraId="6812A9C7" w14:textId="658BC1B6" w:rsidR="00D7183D" w:rsidRDefault="00D7183D" w:rsidP="005D4FAF">
      <w:pPr>
        <w:spacing w:line="276" w:lineRule="auto"/>
        <w:ind w:firstLine="708"/>
        <w:jc w:val="both"/>
        <w:rPr>
          <w:rFonts w:ascii="Arial" w:eastAsia="Arial" w:hAnsi="Arial" w:cs="Arial"/>
          <w:bCs/>
          <w:sz w:val="20"/>
          <w:szCs w:val="20"/>
        </w:rPr>
      </w:pPr>
    </w:p>
    <w:p w14:paraId="3BF5C943" w14:textId="0EC66DF2" w:rsidR="00D7183D" w:rsidRDefault="00D7183D" w:rsidP="00744FB6">
      <w:pPr>
        <w:spacing w:line="276" w:lineRule="auto"/>
        <w:jc w:val="both"/>
        <w:rPr>
          <w:rFonts w:ascii="Arial" w:eastAsia="Arial" w:hAnsi="Arial" w:cs="Arial"/>
          <w:bCs/>
          <w:sz w:val="20"/>
          <w:szCs w:val="20"/>
        </w:rPr>
      </w:pPr>
    </w:p>
    <w:p w14:paraId="57C1E536" w14:textId="122C3F1E" w:rsidR="00D7183D" w:rsidRDefault="00D7183D" w:rsidP="00744FB6">
      <w:pPr>
        <w:spacing w:line="276" w:lineRule="auto"/>
        <w:jc w:val="both"/>
        <w:rPr>
          <w:rFonts w:ascii="Arial" w:eastAsia="Arial" w:hAnsi="Arial" w:cs="Arial"/>
          <w:bCs/>
          <w:sz w:val="20"/>
          <w:szCs w:val="20"/>
        </w:rPr>
      </w:pPr>
    </w:p>
    <w:p w14:paraId="76ADEA16" w14:textId="10F38DCA" w:rsidR="00D7183D" w:rsidRDefault="00D7183D" w:rsidP="00744FB6">
      <w:pPr>
        <w:spacing w:line="276" w:lineRule="auto"/>
        <w:jc w:val="both"/>
        <w:rPr>
          <w:rFonts w:ascii="Arial" w:eastAsia="Arial" w:hAnsi="Arial" w:cs="Arial"/>
          <w:bCs/>
          <w:sz w:val="20"/>
          <w:szCs w:val="20"/>
        </w:rPr>
      </w:pPr>
    </w:p>
    <w:p w14:paraId="0357BFC8" w14:textId="53BCF885" w:rsidR="00D7183D" w:rsidRDefault="00D7183D" w:rsidP="00744FB6">
      <w:pPr>
        <w:spacing w:line="276" w:lineRule="auto"/>
        <w:jc w:val="both"/>
        <w:rPr>
          <w:rFonts w:ascii="Arial" w:eastAsia="Arial" w:hAnsi="Arial" w:cs="Arial"/>
          <w:bCs/>
          <w:sz w:val="20"/>
          <w:szCs w:val="20"/>
        </w:rPr>
      </w:pPr>
    </w:p>
    <w:p w14:paraId="360593EA" w14:textId="77777777" w:rsidR="00D7183D" w:rsidRDefault="00D7183D" w:rsidP="00744FB6">
      <w:pPr>
        <w:spacing w:line="276" w:lineRule="auto"/>
        <w:jc w:val="both"/>
        <w:rPr>
          <w:rFonts w:ascii="Arial" w:eastAsia="Arial" w:hAnsi="Arial" w:cs="Arial"/>
          <w:bCs/>
          <w:sz w:val="20"/>
          <w:szCs w:val="20"/>
        </w:rPr>
      </w:pPr>
    </w:p>
    <w:p w14:paraId="4D3BA360" w14:textId="77777777" w:rsidR="00D7183D" w:rsidRDefault="00D7183D" w:rsidP="00744FB6">
      <w:pPr>
        <w:spacing w:line="276" w:lineRule="auto"/>
        <w:jc w:val="both"/>
        <w:rPr>
          <w:rFonts w:ascii="Arial" w:eastAsia="Arial" w:hAnsi="Arial" w:cs="Arial"/>
          <w:bCs/>
          <w:sz w:val="20"/>
          <w:szCs w:val="20"/>
        </w:rPr>
      </w:pPr>
    </w:p>
    <w:p w14:paraId="466FAD0B" w14:textId="77777777" w:rsidR="00D7183D" w:rsidRDefault="00D7183D" w:rsidP="00744FB6">
      <w:pPr>
        <w:spacing w:line="276" w:lineRule="auto"/>
        <w:jc w:val="both"/>
        <w:rPr>
          <w:rFonts w:ascii="Arial" w:eastAsia="Arial" w:hAnsi="Arial" w:cs="Arial"/>
          <w:bCs/>
          <w:sz w:val="20"/>
          <w:szCs w:val="20"/>
        </w:rPr>
      </w:pPr>
    </w:p>
    <w:p w14:paraId="670F59CE" w14:textId="7508A4BD" w:rsidR="00D7183D" w:rsidRDefault="00D7183D" w:rsidP="00744FB6">
      <w:pPr>
        <w:spacing w:line="276" w:lineRule="auto"/>
        <w:jc w:val="both"/>
        <w:rPr>
          <w:rFonts w:ascii="Arial" w:eastAsia="Arial" w:hAnsi="Arial" w:cs="Arial"/>
          <w:bCs/>
          <w:sz w:val="20"/>
          <w:szCs w:val="20"/>
        </w:rPr>
      </w:pPr>
    </w:p>
    <w:p w14:paraId="1F708822" w14:textId="77777777" w:rsidR="00D7183D" w:rsidRDefault="00D7183D" w:rsidP="00744FB6">
      <w:pPr>
        <w:spacing w:line="276" w:lineRule="auto"/>
        <w:jc w:val="both"/>
        <w:rPr>
          <w:rFonts w:ascii="Arial" w:eastAsia="Arial" w:hAnsi="Arial" w:cs="Arial"/>
          <w:bCs/>
          <w:sz w:val="20"/>
          <w:szCs w:val="20"/>
        </w:rPr>
      </w:pPr>
    </w:p>
    <w:p w14:paraId="51B5F01C" w14:textId="77777777" w:rsidR="00D7183D" w:rsidRDefault="00D7183D" w:rsidP="00744FB6">
      <w:pPr>
        <w:spacing w:line="276" w:lineRule="auto"/>
        <w:jc w:val="both"/>
        <w:rPr>
          <w:rFonts w:ascii="Arial" w:eastAsia="Arial" w:hAnsi="Arial" w:cs="Arial"/>
          <w:bCs/>
          <w:sz w:val="20"/>
          <w:szCs w:val="20"/>
        </w:rPr>
      </w:pPr>
    </w:p>
    <w:p w14:paraId="0063C409" w14:textId="551E3991" w:rsidR="00D7183D" w:rsidRDefault="00D7183D" w:rsidP="00744FB6">
      <w:pPr>
        <w:spacing w:line="276" w:lineRule="auto"/>
        <w:jc w:val="both"/>
        <w:rPr>
          <w:rFonts w:ascii="Arial" w:eastAsia="Arial" w:hAnsi="Arial" w:cs="Arial"/>
          <w:bCs/>
          <w:sz w:val="20"/>
          <w:szCs w:val="20"/>
        </w:rPr>
      </w:pPr>
    </w:p>
    <w:p w14:paraId="370C1173" w14:textId="77777777" w:rsidR="00D7183D" w:rsidRDefault="00D7183D" w:rsidP="00744FB6">
      <w:pPr>
        <w:spacing w:line="276" w:lineRule="auto"/>
        <w:jc w:val="both"/>
        <w:rPr>
          <w:rFonts w:ascii="Arial" w:eastAsia="Arial" w:hAnsi="Arial" w:cs="Arial"/>
          <w:bCs/>
          <w:sz w:val="20"/>
          <w:szCs w:val="20"/>
        </w:rPr>
      </w:pPr>
    </w:p>
    <w:p w14:paraId="3A66F5F2" w14:textId="77777777" w:rsidR="00D7183D" w:rsidRDefault="00D7183D" w:rsidP="00744FB6">
      <w:pPr>
        <w:spacing w:line="276" w:lineRule="auto"/>
        <w:jc w:val="both"/>
        <w:rPr>
          <w:rFonts w:ascii="Arial" w:eastAsia="Arial" w:hAnsi="Arial" w:cs="Arial"/>
          <w:bCs/>
          <w:sz w:val="20"/>
          <w:szCs w:val="20"/>
        </w:rPr>
      </w:pPr>
    </w:p>
    <w:p w14:paraId="6B520E76" w14:textId="77777777" w:rsidR="00D7183D" w:rsidRDefault="00D7183D" w:rsidP="00744FB6">
      <w:pPr>
        <w:spacing w:line="276" w:lineRule="auto"/>
        <w:jc w:val="both"/>
        <w:rPr>
          <w:rFonts w:ascii="Arial" w:eastAsia="Arial" w:hAnsi="Arial" w:cs="Arial"/>
          <w:bCs/>
          <w:sz w:val="20"/>
          <w:szCs w:val="20"/>
        </w:rPr>
      </w:pPr>
    </w:p>
    <w:p w14:paraId="49B63A88" w14:textId="376CD48F" w:rsidR="00D7183D" w:rsidRDefault="00D7183D" w:rsidP="00744FB6">
      <w:pPr>
        <w:spacing w:line="276" w:lineRule="auto"/>
        <w:jc w:val="both"/>
        <w:rPr>
          <w:rFonts w:ascii="Arial" w:eastAsia="Arial" w:hAnsi="Arial" w:cs="Arial"/>
          <w:bCs/>
          <w:sz w:val="20"/>
          <w:szCs w:val="20"/>
        </w:rPr>
      </w:pPr>
    </w:p>
    <w:p w14:paraId="146E5473" w14:textId="77777777" w:rsidR="00D7183D" w:rsidRDefault="00D7183D" w:rsidP="00744FB6">
      <w:pPr>
        <w:spacing w:line="276" w:lineRule="auto"/>
        <w:jc w:val="both"/>
        <w:rPr>
          <w:rFonts w:ascii="Arial" w:eastAsia="Arial" w:hAnsi="Arial" w:cs="Arial"/>
          <w:bCs/>
          <w:sz w:val="20"/>
          <w:szCs w:val="20"/>
        </w:rPr>
      </w:pPr>
    </w:p>
    <w:p w14:paraId="118D10DB" w14:textId="77777777" w:rsidR="00D7183D" w:rsidRDefault="00D7183D" w:rsidP="00744FB6">
      <w:pPr>
        <w:spacing w:line="276" w:lineRule="auto"/>
        <w:jc w:val="both"/>
        <w:rPr>
          <w:rFonts w:ascii="Arial" w:eastAsia="Arial" w:hAnsi="Arial" w:cs="Arial"/>
          <w:bCs/>
          <w:sz w:val="20"/>
          <w:szCs w:val="20"/>
        </w:rPr>
      </w:pPr>
    </w:p>
    <w:p w14:paraId="1BA46C63" w14:textId="77777777" w:rsidR="00D7183D" w:rsidRDefault="00D7183D" w:rsidP="00744FB6">
      <w:pPr>
        <w:spacing w:line="276" w:lineRule="auto"/>
        <w:jc w:val="both"/>
        <w:rPr>
          <w:rFonts w:ascii="Arial" w:eastAsia="Arial" w:hAnsi="Arial" w:cs="Arial"/>
          <w:bCs/>
          <w:sz w:val="20"/>
          <w:szCs w:val="20"/>
        </w:rPr>
      </w:pPr>
    </w:p>
    <w:p w14:paraId="3AC71DFE" w14:textId="77777777" w:rsidR="00D7183D" w:rsidRDefault="00D7183D" w:rsidP="00744FB6">
      <w:pPr>
        <w:spacing w:line="276" w:lineRule="auto"/>
        <w:jc w:val="both"/>
        <w:rPr>
          <w:rFonts w:ascii="Arial" w:eastAsia="Arial" w:hAnsi="Arial" w:cs="Arial"/>
          <w:bCs/>
          <w:sz w:val="20"/>
          <w:szCs w:val="20"/>
        </w:rPr>
      </w:pPr>
    </w:p>
    <w:p w14:paraId="5527AFEA" w14:textId="7AA74ADC" w:rsidR="00D7183D" w:rsidRDefault="00D7183D" w:rsidP="00744FB6">
      <w:pPr>
        <w:spacing w:line="276" w:lineRule="auto"/>
        <w:jc w:val="both"/>
        <w:rPr>
          <w:rFonts w:ascii="Arial" w:eastAsia="Arial" w:hAnsi="Arial" w:cs="Arial"/>
          <w:bCs/>
          <w:sz w:val="20"/>
          <w:szCs w:val="20"/>
        </w:rPr>
      </w:pPr>
    </w:p>
    <w:p w14:paraId="512E4532" w14:textId="77777777" w:rsidR="00D7183D" w:rsidRDefault="00D7183D" w:rsidP="00744FB6">
      <w:pPr>
        <w:spacing w:line="276" w:lineRule="auto"/>
        <w:jc w:val="both"/>
        <w:rPr>
          <w:rFonts w:ascii="Arial" w:eastAsia="Arial" w:hAnsi="Arial" w:cs="Arial"/>
          <w:bCs/>
          <w:sz w:val="20"/>
          <w:szCs w:val="20"/>
        </w:rPr>
      </w:pPr>
    </w:p>
    <w:p w14:paraId="56282FA8" w14:textId="77777777" w:rsidR="00D7183D" w:rsidRDefault="00D7183D" w:rsidP="00744FB6">
      <w:pPr>
        <w:spacing w:line="276" w:lineRule="auto"/>
        <w:jc w:val="both"/>
        <w:rPr>
          <w:rFonts w:ascii="Arial" w:eastAsia="Arial" w:hAnsi="Arial" w:cs="Arial"/>
          <w:bCs/>
          <w:sz w:val="20"/>
          <w:szCs w:val="20"/>
        </w:rPr>
      </w:pPr>
    </w:p>
    <w:p w14:paraId="00C8B32B" w14:textId="77777777" w:rsidR="00D7183D" w:rsidRDefault="00D7183D" w:rsidP="00744FB6">
      <w:pPr>
        <w:spacing w:line="276" w:lineRule="auto"/>
        <w:jc w:val="both"/>
        <w:rPr>
          <w:rFonts w:ascii="Arial" w:eastAsia="Arial" w:hAnsi="Arial" w:cs="Arial"/>
          <w:bCs/>
          <w:sz w:val="20"/>
          <w:szCs w:val="20"/>
        </w:rPr>
      </w:pPr>
    </w:p>
    <w:p w14:paraId="1D27E4D0" w14:textId="31DB9EF1" w:rsidR="00D7183D" w:rsidRDefault="00D7183D" w:rsidP="00744FB6">
      <w:pPr>
        <w:spacing w:line="276" w:lineRule="auto"/>
        <w:jc w:val="both"/>
        <w:rPr>
          <w:rFonts w:ascii="Arial" w:eastAsia="Arial" w:hAnsi="Arial" w:cs="Arial"/>
          <w:bCs/>
          <w:sz w:val="20"/>
          <w:szCs w:val="20"/>
        </w:rPr>
      </w:pPr>
    </w:p>
    <w:p w14:paraId="72499685" w14:textId="685663B7" w:rsidR="00D7183D" w:rsidRDefault="00D7183D" w:rsidP="00744FB6">
      <w:pPr>
        <w:spacing w:line="276" w:lineRule="auto"/>
        <w:jc w:val="both"/>
        <w:rPr>
          <w:rFonts w:ascii="Arial" w:eastAsia="Arial" w:hAnsi="Arial" w:cs="Arial"/>
          <w:bCs/>
          <w:sz w:val="20"/>
          <w:szCs w:val="20"/>
        </w:rPr>
      </w:pPr>
    </w:p>
    <w:p w14:paraId="51509ECA" w14:textId="40F89682" w:rsidR="00D7183D" w:rsidRDefault="00D7183D" w:rsidP="00744FB6">
      <w:pPr>
        <w:spacing w:line="276" w:lineRule="auto"/>
        <w:jc w:val="both"/>
        <w:rPr>
          <w:rFonts w:ascii="Arial" w:eastAsia="Arial" w:hAnsi="Arial" w:cs="Arial"/>
          <w:bCs/>
          <w:sz w:val="20"/>
          <w:szCs w:val="20"/>
        </w:rPr>
      </w:pPr>
    </w:p>
    <w:p w14:paraId="1E0C9BBD" w14:textId="5D9DBB20" w:rsidR="00D7183D" w:rsidRDefault="00D7183D" w:rsidP="00744FB6">
      <w:pPr>
        <w:spacing w:line="276" w:lineRule="auto"/>
        <w:jc w:val="both"/>
        <w:rPr>
          <w:rFonts w:ascii="Arial" w:eastAsia="Arial" w:hAnsi="Arial" w:cs="Arial"/>
          <w:bCs/>
          <w:sz w:val="20"/>
          <w:szCs w:val="20"/>
        </w:rPr>
      </w:pPr>
    </w:p>
    <w:p w14:paraId="1AB09735" w14:textId="1675D468" w:rsidR="00D7183D" w:rsidRDefault="00D7183D" w:rsidP="00744FB6">
      <w:pPr>
        <w:spacing w:line="276" w:lineRule="auto"/>
        <w:jc w:val="both"/>
        <w:rPr>
          <w:rFonts w:ascii="Arial" w:eastAsia="Arial" w:hAnsi="Arial" w:cs="Arial"/>
          <w:bCs/>
          <w:sz w:val="20"/>
          <w:szCs w:val="20"/>
        </w:rPr>
      </w:pPr>
    </w:p>
    <w:p w14:paraId="03DC242A" w14:textId="77777777" w:rsidR="00D7183D" w:rsidRDefault="00D7183D" w:rsidP="00744FB6">
      <w:pPr>
        <w:spacing w:line="276" w:lineRule="auto"/>
        <w:jc w:val="both"/>
        <w:rPr>
          <w:rFonts w:ascii="Arial" w:eastAsia="Arial" w:hAnsi="Arial" w:cs="Arial"/>
          <w:bCs/>
          <w:sz w:val="20"/>
          <w:szCs w:val="20"/>
        </w:rPr>
      </w:pPr>
    </w:p>
    <w:p w14:paraId="2BD3B79E" w14:textId="77777777" w:rsidR="00D7183D" w:rsidRDefault="00D7183D" w:rsidP="00744FB6">
      <w:pPr>
        <w:spacing w:line="276" w:lineRule="auto"/>
        <w:jc w:val="both"/>
        <w:rPr>
          <w:rFonts w:ascii="Arial" w:eastAsia="Arial" w:hAnsi="Arial" w:cs="Arial"/>
          <w:bCs/>
          <w:sz w:val="20"/>
          <w:szCs w:val="20"/>
        </w:rPr>
      </w:pPr>
    </w:p>
    <w:p w14:paraId="23A690BD" w14:textId="61D1F2EE" w:rsidR="00D7183D" w:rsidRDefault="00D7183D" w:rsidP="00744FB6">
      <w:pPr>
        <w:spacing w:line="276" w:lineRule="auto"/>
        <w:jc w:val="both"/>
        <w:rPr>
          <w:rFonts w:ascii="Arial" w:eastAsia="Arial" w:hAnsi="Arial" w:cs="Arial"/>
          <w:bCs/>
          <w:sz w:val="20"/>
          <w:szCs w:val="20"/>
        </w:rPr>
      </w:pPr>
    </w:p>
    <w:p w14:paraId="7A389D3D" w14:textId="68F533CE" w:rsidR="00D7183D" w:rsidRDefault="00D7183D" w:rsidP="00744FB6">
      <w:pPr>
        <w:spacing w:line="276" w:lineRule="auto"/>
        <w:jc w:val="both"/>
        <w:rPr>
          <w:rFonts w:ascii="Arial" w:eastAsia="Arial" w:hAnsi="Arial" w:cs="Arial"/>
          <w:bCs/>
          <w:sz w:val="20"/>
          <w:szCs w:val="20"/>
        </w:rPr>
      </w:pPr>
      <w:r>
        <w:rPr>
          <w:rFonts w:ascii="Arial" w:eastAsia="Arial" w:hAnsi="Arial" w:cs="Arial"/>
          <w:bCs/>
          <w:sz w:val="20"/>
          <w:szCs w:val="20"/>
        </w:rPr>
        <w:t>.</w:t>
      </w:r>
    </w:p>
    <w:p w14:paraId="75E0465C" w14:textId="77777777" w:rsidR="00D7183D" w:rsidRDefault="00D7183D" w:rsidP="00744FB6">
      <w:pPr>
        <w:spacing w:line="276" w:lineRule="auto"/>
        <w:jc w:val="both"/>
        <w:rPr>
          <w:rFonts w:ascii="Arial" w:eastAsia="Arial" w:hAnsi="Arial" w:cs="Arial"/>
          <w:bCs/>
          <w:sz w:val="20"/>
          <w:szCs w:val="20"/>
        </w:rPr>
      </w:pPr>
    </w:p>
    <w:p w14:paraId="45336CA3" w14:textId="77777777" w:rsidR="00D7183D" w:rsidRDefault="00D7183D" w:rsidP="00744FB6">
      <w:pPr>
        <w:spacing w:line="276" w:lineRule="auto"/>
        <w:jc w:val="both"/>
        <w:rPr>
          <w:rFonts w:ascii="Arial" w:eastAsia="Arial" w:hAnsi="Arial" w:cs="Arial"/>
          <w:bCs/>
          <w:sz w:val="20"/>
          <w:szCs w:val="20"/>
        </w:rPr>
      </w:pPr>
    </w:p>
    <w:p w14:paraId="5D964068" w14:textId="77777777" w:rsidR="00D7183D" w:rsidRDefault="00D7183D" w:rsidP="00744FB6">
      <w:pPr>
        <w:spacing w:line="276" w:lineRule="auto"/>
        <w:jc w:val="both"/>
        <w:rPr>
          <w:rFonts w:ascii="Arial" w:eastAsia="Arial" w:hAnsi="Arial" w:cs="Arial"/>
          <w:bCs/>
          <w:sz w:val="20"/>
          <w:szCs w:val="20"/>
        </w:rPr>
      </w:pPr>
    </w:p>
    <w:p w14:paraId="57BD7AD1" w14:textId="77777777" w:rsidR="00D7183D" w:rsidRDefault="00D7183D" w:rsidP="00744FB6">
      <w:pPr>
        <w:spacing w:line="276" w:lineRule="auto"/>
        <w:jc w:val="both"/>
        <w:rPr>
          <w:rFonts w:ascii="Arial" w:eastAsia="Arial" w:hAnsi="Arial" w:cs="Arial"/>
          <w:bCs/>
          <w:sz w:val="20"/>
          <w:szCs w:val="20"/>
        </w:rPr>
      </w:pPr>
    </w:p>
    <w:p w14:paraId="57AAA023" w14:textId="77777777" w:rsidR="00D7183D" w:rsidRDefault="00D7183D" w:rsidP="00744FB6">
      <w:pPr>
        <w:spacing w:line="276" w:lineRule="auto"/>
        <w:jc w:val="both"/>
        <w:rPr>
          <w:rFonts w:ascii="Arial" w:eastAsia="Arial" w:hAnsi="Arial" w:cs="Arial"/>
          <w:bCs/>
          <w:sz w:val="20"/>
          <w:szCs w:val="20"/>
        </w:rPr>
      </w:pPr>
    </w:p>
    <w:p w14:paraId="50E028C7" w14:textId="57853905" w:rsidR="00D7183D" w:rsidRDefault="00D7183D" w:rsidP="00744FB6">
      <w:pPr>
        <w:spacing w:line="276" w:lineRule="auto"/>
        <w:jc w:val="both"/>
        <w:rPr>
          <w:rFonts w:ascii="Arial" w:eastAsia="Arial" w:hAnsi="Arial" w:cs="Arial"/>
          <w:bCs/>
          <w:sz w:val="20"/>
          <w:szCs w:val="20"/>
        </w:rPr>
      </w:pPr>
    </w:p>
    <w:p w14:paraId="26BB55D7" w14:textId="4337F808" w:rsidR="00D7183D" w:rsidRDefault="00D7183D" w:rsidP="00744FB6">
      <w:pPr>
        <w:spacing w:line="276" w:lineRule="auto"/>
        <w:jc w:val="both"/>
        <w:rPr>
          <w:rFonts w:ascii="Arial" w:eastAsia="Arial" w:hAnsi="Arial" w:cs="Arial"/>
          <w:bCs/>
          <w:sz w:val="20"/>
          <w:szCs w:val="20"/>
        </w:rPr>
      </w:pPr>
    </w:p>
    <w:p w14:paraId="4C5A662E" w14:textId="77777777" w:rsidR="00D7183D" w:rsidRDefault="00D7183D" w:rsidP="00744FB6">
      <w:pPr>
        <w:spacing w:line="276" w:lineRule="auto"/>
        <w:jc w:val="both"/>
        <w:rPr>
          <w:rFonts w:ascii="Arial" w:eastAsia="Arial" w:hAnsi="Arial" w:cs="Arial"/>
          <w:bCs/>
          <w:sz w:val="20"/>
          <w:szCs w:val="20"/>
        </w:rPr>
      </w:pPr>
    </w:p>
    <w:p w14:paraId="2C7BEFDC" w14:textId="77777777" w:rsidR="00D7183D" w:rsidRDefault="00D7183D" w:rsidP="00744FB6">
      <w:pPr>
        <w:spacing w:line="276" w:lineRule="auto"/>
        <w:jc w:val="both"/>
        <w:rPr>
          <w:rFonts w:ascii="Arial" w:eastAsia="Arial" w:hAnsi="Arial" w:cs="Arial"/>
          <w:bCs/>
          <w:sz w:val="20"/>
          <w:szCs w:val="20"/>
        </w:rPr>
      </w:pPr>
    </w:p>
    <w:p w14:paraId="01079306" w14:textId="6D0236B8" w:rsidR="00D7183D" w:rsidRDefault="00D7183D" w:rsidP="00744FB6">
      <w:pPr>
        <w:spacing w:line="276" w:lineRule="auto"/>
        <w:jc w:val="both"/>
        <w:rPr>
          <w:rFonts w:ascii="Arial" w:eastAsia="Arial" w:hAnsi="Arial" w:cs="Arial"/>
          <w:bCs/>
          <w:sz w:val="20"/>
          <w:szCs w:val="20"/>
        </w:rPr>
      </w:pPr>
    </w:p>
    <w:p w14:paraId="04FB9917" w14:textId="1E956275" w:rsidR="00D7183D" w:rsidRDefault="00D7183D" w:rsidP="00744FB6">
      <w:pPr>
        <w:spacing w:line="276" w:lineRule="auto"/>
        <w:jc w:val="both"/>
        <w:rPr>
          <w:rFonts w:ascii="Arial" w:eastAsia="Arial" w:hAnsi="Arial" w:cs="Arial"/>
          <w:bCs/>
          <w:sz w:val="20"/>
          <w:szCs w:val="20"/>
        </w:rPr>
      </w:pPr>
      <w:r>
        <w:rPr>
          <w:rFonts w:ascii="Arial" w:eastAsia="Arial" w:hAnsi="Arial" w:cs="Arial"/>
          <w:bCs/>
          <w:sz w:val="20"/>
          <w:szCs w:val="20"/>
        </w:rPr>
        <w:t>.</w:t>
      </w:r>
    </w:p>
    <w:p w14:paraId="3D454EC2" w14:textId="77777777" w:rsidR="00D7183D" w:rsidRDefault="00D7183D" w:rsidP="00744FB6">
      <w:pPr>
        <w:spacing w:line="276" w:lineRule="auto"/>
        <w:jc w:val="both"/>
        <w:rPr>
          <w:rFonts w:ascii="Arial" w:eastAsia="Arial" w:hAnsi="Arial" w:cs="Arial"/>
          <w:bCs/>
          <w:sz w:val="20"/>
          <w:szCs w:val="20"/>
        </w:rPr>
      </w:pPr>
    </w:p>
    <w:p w14:paraId="2B086757" w14:textId="77777777" w:rsidR="00D7183D" w:rsidRDefault="00D7183D" w:rsidP="00744FB6">
      <w:pPr>
        <w:spacing w:line="276" w:lineRule="auto"/>
        <w:jc w:val="both"/>
        <w:rPr>
          <w:rFonts w:ascii="Arial" w:eastAsia="Arial" w:hAnsi="Arial" w:cs="Arial"/>
          <w:bCs/>
          <w:sz w:val="20"/>
          <w:szCs w:val="20"/>
        </w:rPr>
      </w:pPr>
    </w:p>
    <w:p w14:paraId="1F3A9B5A" w14:textId="0931BFD8" w:rsidR="00D7183D" w:rsidRDefault="00D7183D" w:rsidP="00744FB6">
      <w:pPr>
        <w:spacing w:line="276" w:lineRule="auto"/>
        <w:jc w:val="both"/>
        <w:rPr>
          <w:rFonts w:ascii="Arial" w:eastAsia="Arial" w:hAnsi="Arial" w:cs="Arial"/>
          <w:bCs/>
          <w:sz w:val="20"/>
          <w:szCs w:val="20"/>
        </w:rPr>
      </w:pPr>
      <w:r>
        <w:rPr>
          <w:rFonts w:ascii="Arial" w:eastAsia="Arial" w:hAnsi="Arial" w:cs="Arial"/>
          <w:bCs/>
          <w:sz w:val="20"/>
          <w:szCs w:val="20"/>
        </w:rPr>
        <w:t>.</w:t>
      </w:r>
    </w:p>
    <w:p w14:paraId="77A05B6C" w14:textId="39878459" w:rsidR="00D7183D" w:rsidRDefault="00D7183D" w:rsidP="00744FB6">
      <w:pPr>
        <w:spacing w:line="276" w:lineRule="auto"/>
        <w:jc w:val="both"/>
        <w:rPr>
          <w:rFonts w:ascii="Arial" w:eastAsia="Arial" w:hAnsi="Arial" w:cs="Arial"/>
          <w:bCs/>
          <w:sz w:val="20"/>
          <w:szCs w:val="20"/>
        </w:rPr>
      </w:pPr>
      <w:r>
        <w:rPr>
          <w:rFonts w:ascii="Arial" w:eastAsia="Arial" w:hAnsi="Arial" w:cs="Arial"/>
          <w:bCs/>
          <w:sz w:val="20"/>
          <w:szCs w:val="20"/>
        </w:rPr>
        <w:t>.</w:t>
      </w:r>
      <w:r w:rsidRPr="00D7183D">
        <w:rPr>
          <w:noProof/>
        </w:rPr>
        <w:t xml:space="preserve"> </w:t>
      </w:r>
    </w:p>
    <w:p w14:paraId="130910CF" w14:textId="63BA50EC" w:rsidR="00FC5C38" w:rsidRDefault="00FC5C38" w:rsidP="00744FB6">
      <w:pPr>
        <w:spacing w:line="276" w:lineRule="auto"/>
        <w:jc w:val="both"/>
        <w:rPr>
          <w:rFonts w:ascii="Arial" w:eastAsia="Arial" w:hAnsi="Arial" w:cs="Arial"/>
          <w:b/>
          <w:sz w:val="20"/>
          <w:szCs w:val="20"/>
        </w:rPr>
      </w:pPr>
      <w:r>
        <w:rPr>
          <w:rFonts w:ascii="Arial" w:eastAsia="Arial" w:hAnsi="Arial" w:cs="Arial"/>
          <w:b/>
          <w:sz w:val="20"/>
          <w:szCs w:val="20"/>
        </w:rPr>
        <w:lastRenderedPageBreak/>
        <w:t xml:space="preserve"> </w:t>
      </w:r>
      <w:r w:rsidR="00B15037">
        <w:rPr>
          <w:rFonts w:ascii="Arial" w:eastAsia="Arial" w:hAnsi="Arial" w:cs="Arial"/>
          <w:b/>
          <w:sz w:val="20"/>
          <w:szCs w:val="20"/>
        </w:rPr>
        <w:t>Índice</w:t>
      </w:r>
    </w:p>
    <w:p w14:paraId="46A4C0CC" w14:textId="77777777" w:rsidR="00B15037" w:rsidRDefault="00B15037" w:rsidP="00744FB6">
      <w:pPr>
        <w:spacing w:line="276" w:lineRule="auto"/>
        <w:jc w:val="both"/>
        <w:rPr>
          <w:rFonts w:ascii="Arial" w:eastAsia="Arial" w:hAnsi="Arial" w:cs="Arial"/>
          <w:b/>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B15037" w:rsidRPr="0087235C" w14:paraId="59C60044" w14:textId="77777777" w:rsidTr="00607ED7">
        <w:tc>
          <w:tcPr>
            <w:tcW w:w="4414" w:type="dxa"/>
          </w:tcPr>
          <w:p w14:paraId="3894CA32" w14:textId="6B0E89B1" w:rsidR="0045113B" w:rsidRPr="0087235C" w:rsidRDefault="0045113B" w:rsidP="002114B0">
            <w:pPr>
              <w:spacing w:line="360" w:lineRule="auto"/>
              <w:jc w:val="both"/>
              <w:rPr>
                <w:rFonts w:ascii="Arial" w:eastAsia="Arial" w:hAnsi="Arial" w:cs="Arial"/>
                <w:b/>
                <w:sz w:val="14"/>
                <w:szCs w:val="14"/>
              </w:rPr>
            </w:pPr>
            <w:r w:rsidRPr="0087235C">
              <w:rPr>
                <w:rFonts w:ascii="Arial" w:eastAsia="Arial" w:hAnsi="Arial" w:cs="Arial"/>
                <w:b/>
                <w:color w:val="002060"/>
                <w:sz w:val="14"/>
                <w:szCs w:val="14"/>
              </w:rPr>
              <w:t xml:space="preserve">I. Presentación </w:t>
            </w:r>
            <w:r w:rsidRPr="0087235C">
              <w:rPr>
                <w:rFonts w:ascii="Arial" w:eastAsia="Arial" w:hAnsi="Arial" w:cs="Arial"/>
                <w:b/>
                <w:sz w:val="14"/>
                <w:szCs w:val="14"/>
              </w:rPr>
              <w:t>........................................................................</w:t>
            </w:r>
            <w:r w:rsidR="00323EF7" w:rsidRPr="0087235C">
              <w:rPr>
                <w:rFonts w:ascii="Arial" w:eastAsia="Arial" w:hAnsi="Arial" w:cs="Arial"/>
                <w:b/>
                <w:sz w:val="14"/>
                <w:szCs w:val="14"/>
              </w:rPr>
              <w:t>...</w:t>
            </w:r>
            <w:r w:rsidR="00437477">
              <w:rPr>
                <w:rFonts w:ascii="Arial" w:eastAsia="Arial" w:hAnsi="Arial" w:cs="Arial"/>
                <w:b/>
                <w:sz w:val="14"/>
                <w:szCs w:val="14"/>
              </w:rPr>
              <w:t>....</w:t>
            </w:r>
            <w:r w:rsidR="00FA2DBE" w:rsidRPr="0087235C">
              <w:rPr>
                <w:rFonts w:ascii="Arial" w:eastAsia="Arial" w:hAnsi="Arial" w:cs="Arial"/>
                <w:b/>
                <w:sz w:val="14"/>
                <w:szCs w:val="14"/>
              </w:rPr>
              <w:t xml:space="preserve"> </w:t>
            </w:r>
            <w:r w:rsidRPr="0087235C">
              <w:rPr>
                <w:rFonts w:ascii="Arial" w:eastAsia="Arial" w:hAnsi="Arial" w:cs="Arial"/>
                <w:b/>
                <w:sz w:val="14"/>
                <w:szCs w:val="14"/>
              </w:rPr>
              <w:t>3</w:t>
            </w:r>
          </w:p>
          <w:p w14:paraId="3F1DB5BC" w14:textId="77777777" w:rsidR="0045113B" w:rsidRPr="0087235C" w:rsidRDefault="0045113B" w:rsidP="002114B0">
            <w:pPr>
              <w:spacing w:line="360" w:lineRule="auto"/>
              <w:jc w:val="both"/>
              <w:rPr>
                <w:rFonts w:ascii="Arial" w:eastAsia="Arial" w:hAnsi="Arial" w:cs="Arial"/>
                <w:bCs/>
                <w:sz w:val="14"/>
                <w:szCs w:val="14"/>
              </w:rPr>
            </w:pPr>
          </w:p>
          <w:p w14:paraId="71D1C868" w14:textId="3AB89505" w:rsidR="0045113B" w:rsidRPr="0087235C" w:rsidRDefault="0045113B" w:rsidP="002114B0">
            <w:pPr>
              <w:spacing w:line="360" w:lineRule="auto"/>
              <w:jc w:val="both"/>
              <w:rPr>
                <w:rFonts w:ascii="Arial" w:eastAsia="Arial" w:hAnsi="Arial" w:cs="Arial"/>
                <w:b/>
                <w:sz w:val="14"/>
                <w:szCs w:val="14"/>
              </w:rPr>
            </w:pPr>
            <w:r w:rsidRPr="0087235C">
              <w:rPr>
                <w:rFonts w:ascii="Arial" w:eastAsia="Arial" w:hAnsi="Arial" w:cs="Arial"/>
                <w:b/>
                <w:color w:val="002060"/>
                <w:sz w:val="14"/>
                <w:szCs w:val="14"/>
              </w:rPr>
              <w:t xml:space="preserve">II. Situación regional </w:t>
            </w:r>
            <w:r w:rsidRPr="0087235C">
              <w:rPr>
                <w:rFonts w:ascii="Arial" w:eastAsia="Arial" w:hAnsi="Arial" w:cs="Arial"/>
                <w:b/>
                <w:sz w:val="14"/>
                <w:szCs w:val="14"/>
              </w:rPr>
              <w:t>...............................................................</w:t>
            </w:r>
            <w:r w:rsidR="00323EF7" w:rsidRPr="0087235C">
              <w:rPr>
                <w:rFonts w:ascii="Arial" w:eastAsia="Arial" w:hAnsi="Arial" w:cs="Arial"/>
                <w:b/>
                <w:sz w:val="14"/>
                <w:szCs w:val="14"/>
              </w:rPr>
              <w:t>..</w:t>
            </w:r>
            <w:r w:rsidR="00437477">
              <w:rPr>
                <w:rFonts w:ascii="Arial" w:eastAsia="Arial" w:hAnsi="Arial" w:cs="Arial"/>
                <w:b/>
                <w:sz w:val="14"/>
                <w:szCs w:val="14"/>
              </w:rPr>
              <w:t>....</w:t>
            </w:r>
            <w:r w:rsidR="00900F7E" w:rsidRPr="0087235C">
              <w:rPr>
                <w:rFonts w:ascii="Arial" w:eastAsia="Arial" w:hAnsi="Arial" w:cs="Arial"/>
                <w:b/>
                <w:sz w:val="14"/>
                <w:szCs w:val="14"/>
              </w:rPr>
              <w:t xml:space="preserve"> </w:t>
            </w:r>
            <w:r w:rsidRPr="0087235C">
              <w:rPr>
                <w:rFonts w:ascii="Arial" w:eastAsia="Arial" w:hAnsi="Arial" w:cs="Arial"/>
                <w:b/>
                <w:sz w:val="14"/>
                <w:szCs w:val="14"/>
              </w:rPr>
              <w:t>3</w:t>
            </w:r>
          </w:p>
          <w:p w14:paraId="14513806" w14:textId="2BF0CCBD" w:rsidR="002114B0" w:rsidRPr="0087235C" w:rsidRDefault="002114B0" w:rsidP="002114B0">
            <w:pPr>
              <w:pStyle w:val="Prrafodelista"/>
              <w:numPr>
                <w:ilvl w:val="0"/>
                <w:numId w:val="21"/>
              </w:numPr>
              <w:spacing w:line="360" w:lineRule="auto"/>
              <w:rPr>
                <w:rFonts w:ascii="Arial" w:eastAsia="Arial" w:hAnsi="Arial" w:cs="Arial"/>
                <w:bCs/>
                <w:sz w:val="14"/>
                <w:szCs w:val="14"/>
              </w:rPr>
            </w:pPr>
            <w:r w:rsidRPr="0087235C">
              <w:rPr>
                <w:rFonts w:ascii="Arial" w:eastAsia="Arial" w:hAnsi="Arial" w:cs="Arial"/>
                <w:bCs/>
                <w:sz w:val="14"/>
                <w:szCs w:val="14"/>
              </w:rPr>
              <w:t>Caracterización</w:t>
            </w:r>
            <w:r w:rsidR="0045113B" w:rsidRPr="0087235C">
              <w:rPr>
                <w:rFonts w:ascii="Arial" w:eastAsia="Arial" w:hAnsi="Arial" w:cs="Arial"/>
                <w:bCs/>
                <w:sz w:val="14"/>
                <w:szCs w:val="14"/>
              </w:rPr>
              <w:t xml:space="preserve"> territorial y </w:t>
            </w:r>
            <w:r w:rsidRPr="0087235C">
              <w:rPr>
                <w:rFonts w:ascii="Arial" w:eastAsia="Arial" w:hAnsi="Arial" w:cs="Arial"/>
                <w:bCs/>
                <w:sz w:val="14"/>
                <w:szCs w:val="14"/>
              </w:rPr>
              <w:t>d</w:t>
            </w:r>
            <w:r w:rsidR="0045113B" w:rsidRPr="0087235C">
              <w:rPr>
                <w:rFonts w:ascii="Arial" w:eastAsia="Arial" w:hAnsi="Arial" w:cs="Arial"/>
                <w:bCs/>
                <w:sz w:val="14"/>
                <w:szCs w:val="14"/>
              </w:rPr>
              <w:t>emográfica</w:t>
            </w:r>
            <w:r w:rsidR="00437477" w:rsidRPr="0087235C">
              <w:rPr>
                <w:rFonts w:ascii="Arial" w:eastAsia="Arial" w:hAnsi="Arial" w:cs="Arial"/>
                <w:bCs/>
                <w:sz w:val="14"/>
                <w:szCs w:val="14"/>
              </w:rPr>
              <w:t xml:space="preserve"> …</w:t>
            </w:r>
            <w:r w:rsidRPr="0087235C">
              <w:rPr>
                <w:rFonts w:ascii="Arial" w:eastAsia="Arial" w:hAnsi="Arial" w:cs="Arial"/>
                <w:bCs/>
                <w:sz w:val="14"/>
                <w:szCs w:val="14"/>
              </w:rPr>
              <w:t>…</w:t>
            </w:r>
            <w:r w:rsidR="00323EF7" w:rsidRPr="0087235C">
              <w:rPr>
                <w:rFonts w:ascii="Arial" w:eastAsia="Arial" w:hAnsi="Arial" w:cs="Arial"/>
                <w:bCs/>
                <w:sz w:val="14"/>
                <w:szCs w:val="14"/>
              </w:rPr>
              <w:t>………</w:t>
            </w:r>
            <w:r w:rsidR="0051057E">
              <w:rPr>
                <w:rFonts w:ascii="Arial" w:eastAsia="Arial" w:hAnsi="Arial" w:cs="Arial"/>
                <w:bCs/>
                <w:sz w:val="14"/>
                <w:szCs w:val="14"/>
              </w:rPr>
              <w:t>…...</w:t>
            </w:r>
            <w:r w:rsidR="00437477">
              <w:rPr>
                <w:rFonts w:ascii="Arial" w:eastAsia="Arial" w:hAnsi="Arial" w:cs="Arial"/>
                <w:bCs/>
                <w:sz w:val="14"/>
                <w:szCs w:val="14"/>
              </w:rPr>
              <w:t xml:space="preserve">..... </w:t>
            </w:r>
            <w:r w:rsidR="0045113B" w:rsidRPr="0087235C">
              <w:rPr>
                <w:rFonts w:ascii="Arial" w:eastAsia="Arial" w:hAnsi="Arial" w:cs="Arial"/>
                <w:bCs/>
                <w:sz w:val="14"/>
                <w:szCs w:val="14"/>
              </w:rPr>
              <w:t>3</w:t>
            </w:r>
          </w:p>
          <w:p w14:paraId="70C6AA99" w14:textId="0CE3F011" w:rsidR="0045113B" w:rsidRPr="0087235C" w:rsidRDefault="0045113B" w:rsidP="002114B0">
            <w:pPr>
              <w:pStyle w:val="Prrafodelista"/>
              <w:numPr>
                <w:ilvl w:val="0"/>
                <w:numId w:val="21"/>
              </w:numPr>
              <w:spacing w:line="360" w:lineRule="auto"/>
              <w:rPr>
                <w:rFonts w:ascii="Arial" w:eastAsia="Arial" w:hAnsi="Arial" w:cs="Arial"/>
                <w:bCs/>
                <w:sz w:val="14"/>
                <w:szCs w:val="14"/>
              </w:rPr>
            </w:pPr>
            <w:r w:rsidRPr="0087235C">
              <w:rPr>
                <w:rFonts w:ascii="Arial" w:eastAsia="Arial" w:hAnsi="Arial" w:cs="Arial"/>
                <w:bCs/>
                <w:sz w:val="14"/>
                <w:szCs w:val="14"/>
              </w:rPr>
              <w:t xml:space="preserve">Definiciones estratégicas y principales </w:t>
            </w:r>
            <w:r w:rsidR="00ED06B2" w:rsidRPr="0087235C">
              <w:rPr>
                <w:rFonts w:ascii="Arial" w:eastAsia="Arial" w:hAnsi="Arial" w:cs="Arial"/>
                <w:bCs/>
                <w:sz w:val="14"/>
                <w:szCs w:val="14"/>
              </w:rPr>
              <w:t>desafíos.</w:t>
            </w:r>
            <w:r w:rsidRPr="0087235C">
              <w:rPr>
                <w:rFonts w:ascii="Arial" w:eastAsia="Arial" w:hAnsi="Arial" w:cs="Arial"/>
                <w:bCs/>
                <w:sz w:val="14"/>
                <w:szCs w:val="14"/>
              </w:rPr>
              <w:t>........</w:t>
            </w:r>
            <w:r w:rsidR="00437477">
              <w:rPr>
                <w:rFonts w:ascii="Arial" w:eastAsia="Arial" w:hAnsi="Arial" w:cs="Arial"/>
                <w:bCs/>
                <w:sz w:val="14"/>
                <w:szCs w:val="14"/>
              </w:rPr>
              <w:t>..........</w:t>
            </w:r>
            <w:r w:rsidR="00323EF7" w:rsidRPr="0087235C">
              <w:rPr>
                <w:rFonts w:ascii="Arial" w:eastAsia="Arial" w:hAnsi="Arial" w:cs="Arial"/>
                <w:bCs/>
                <w:sz w:val="14"/>
                <w:szCs w:val="14"/>
              </w:rPr>
              <w:t xml:space="preserve"> </w:t>
            </w:r>
            <w:r w:rsidRPr="0087235C">
              <w:rPr>
                <w:rFonts w:ascii="Arial" w:eastAsia="Arial" w:hAnsi="Arial" w:cs="Arial"/>
                <w:bCs/>
                <w:sz w:val="14"/>
                <w:szCs w:val="14"/>
              </w:rPr>
              <w:t>3</w:t>
            </w:r>
          </w:p>
          <w:p w14:paraId="108BAE70" w14:textId="4F373662" w:rsidR="0045113B" w:rsidRPr="0087235C" w:rsidRDefault="0034165F" w:rsidP="0013421F">
            <w:pPr>
              <w:spacing w:line="360" w:lineRule="auto"/>
              <w:ind w:left="40"/>
              <w:jc w:val="both"/>
              <w:rPr>
                <w:rFonts w:ascii="Arial" w:eastAsia="Arial" w:hAnsi="Arial" w:cs="Arial"/>
                <w:bCs/>
                <w:sz w:val="14"/>
                <w:szCs w:val="14"/>
              </w:rPr>
            </w:pPr>
            <w:r w:rsidRPr="0087235C">
              <w:rPr>
                <w:rFonts w:ascii="Arial" w:eastAsia="Arial" w:hAnsi="Arial" w:cs="Arial"/>
                <w:bCs/>
                <w:sz w:val="14"/>
                <w:szCs w:val="14"/>
              </w:rPr>
              <w:t xml:space="preserve">          </w:t>
            </w:r>
            <w:r w:rsidR="0013421F" w:rsidRPr="0087235C">
              <w:rPr>
                <w:rFonts w:ascii="Arial" w:eastAsia="Arial" w:hAnsi="Arial" w:cs="Arial"/>
                <w:bCs/>
                <w:sz w:val="14"/>
                <w:szCs w:val="14"/>
              </w:rPr>
              <w:t xml:space="preserve">2.1 </w:t>
            </w:r>
            <w:r w:rsidR="0045113B" w:rsidRPr="0087235C">
              <w:rPr>
                <w:rFonts w:ascii="Arial" w:eastAsia="Arial" w:hAnsi="Arial" w:cs="Arial"/>
                <w:bCs/>
                <w:sz w:val="14"/>
                <w:szCs w:val="14"/>
              </w:rPr>
              <w:t xml:space="preserve">Seguridad pública </w:t>
            </w:r>
            <w:r w:rsidR="00323EF7" w:rsidRPr="0087235C">
              <w:rPr>
                <w:rFonts w:ascii="Arial" w:eastAsia="Arial" w:hAnsi="Arial" w:cs="Arial"/>
                <w:bCs/>
                <w:sz w:val="14"/>
                <w:szCs w:val="14"/>
              </w:rPr>
              <w:t>………………………………</w:t>
            </w:r>
            <w:r w:rsidR="00437477" w:rsidRPr="0087235C">
              <w:rPr>
                <w:rFonts w:ascii="Arial" w:eastAsia="Arial" w:hAnsi="Arial" w:cs="Arial"/>
                <w:bCs/>
                <w:sz w:val="14"/>
                <w:szCs w:val="14"/>
              </w:rPr>
              <w:t>……</w:t>
            </w:r>
            <w:r w:rsidR="00437477">
              <w:rPr>
                <w:rFonts w:ascii="Arial" w:eastAsia="Arial" w:hAnsi="Arial" w:cs="Arial"/>
                <w:bCs/>
                <w:sz w:val="14"/>
                <w:szCs w:val="14"/>
              </w:rPr>
              <w:t>…….</w:t>
            </w:r>
            <w:r w:rsidRPr="0087235C">
              <w:rPr>
                <w:rFonts w:ascii="Arial" w:eastAsia="Arial" w:hAnsi="Arial" w:cs="Arial"/>
                <w:bCs/>
                <w:sz w:val="14"/>
                <w:szCs w:val="14"/>
              </w:rPr>
              <w:t xml:space="preserve"> </w:t>
            </w:r>
            <w:r w:rsidR="00323EF7" w:rsidRPr="0087235C">
              <w:rPr>
                <w:rFonts w:ascii="Arial" w:eastAsia="Arial" w:hAnsi="Arial" w:cs="Arial"/>
                <w:bCs/>
                <w:sz w:val="14"/>
                <w:szCs w:val="14"/>
              </w:rPr>
              <w:t>4</w:t>
            </w:r>
          </w:p>
          <w:p w14:paraId="5E09B5F5" w14:textId="3A0A3032" w:rsidR="0013421F" w:rsidRPr="0087235C" w:rsidRDefault="0034165F" w:rsidP="0013421F">
            <w:pPr>
              <w:spacing w:line="360" w:lineRule="auto"/>
              <w:ind w:left="40"/>
              <w:jc w:val="both"/>
              <w:rPr>
                <w:rFonts w:ascii="Arial" w:eastAsia="Arial" w:hAnsi="Arial" w:cs="Arial"/>
                <w:bCs/>
                <w:sz w:val="14"/>
                <w:szCs w:val="14"/>
              </w:rPr>
            </w:pPr>
            <w:r w:rsidRPr="0087235C">
              <w:rPr>
                <w:rFonts w:ascii="Arial" w:eastAsia="Arial" w:hAnsi="Arial" w:cs="Arial"/>
                <w:bCs/>
                <w:sz w:val="14"/>
                <w:szCs w:val="14"/>
              </w:rPr>
              <w:t xml:space="preserve">          </w:t>
            </w:r>
            <w:r w:rsidR="00FA2DBE" w:rsidRPr="0087235C">
              <w:rPr>
                <w:rFonts w:ascii="Arial" w:eastAsia="Arial" w:hAnsi="Arial" w:cs="Arial"/>
                <w:bCs/>
                <w:sz w:val="14"/>
                <w:szCs w:val="14"/>
              </w:rPr>
              <w:t xml:space="preserve">2.2 </w:t>
            </w:r>
            <w:r w:rsidR="0045113B" w:rsidRPr="0087235C">
              <w:rPr>
                <w:rFonts w:ascii="Arial" w:eastAsia="Arial" w:hAnsi="Arial" w:cs="Arial"/>
                <w:bCs/>
                <w:sz w:val="14"/>
                <w:szCs w:val="14"/>
              </w:rPr>
              <w:t xml:space="preserve">Crisis hídrica </w:t>
            </w:r>
            <w:r w:rsidR="00FA2DBE" w:rsidRPr="0087235C">
              <w:rPr>
                <w:rFonts w:ascii="Arial" w:eastAsia="Arial" w:hAnsi="Arial" w:cs="Arial"/>
                <w:bCs/>
                <w:sz w:val="14"/>
                <w:szCs w:val="14"/>
              </w:rPr>
              <w:t>………………………………</w:t>
            </w:r>
            <w:r w:rsidRPr="0087235C">
              <w:rPr>
                <w:rFonts w:ascii="Arial" w:eastAsia="Arial" w:hAnsi="Arial" w:cs="Arial"/>
                <w:bCs/>
                <w:sz w:val="14"/>
                <w:szCs w:val="14"/>
              </w:rPr>
              <w:t>…………</w:t>
            </w:r>
            <w:r w:rsidR="008744E6" w:rsidRPr="0087235C">
              <w:rPr>
                <w:rFonts w:ascii="Arial" w:eastAsia="Arial" w:hAnsi="Arial" w:cs="Arial"/>
                <w:bCs/>
                <w:sz w:val="14"/>
                <w:szCs w:val="14"/>
              </w:rPr>
              <w:t>…</w:t>
            </w:r>
            <w:r w:rsidR="008744E6">
              <w:rPr>
                <w:rFonts w:ascii="Arial" w:eastAsia="Arial" w:hAnsi="Arial" w:cs="Arial"/>
                <w:bCs/>
                <w:sz w:val="14"/>
                <w:szCs w:val="14"/>
              </w:rPr>
              <w:t>….</w:t>
            </w:r>
            <w:r w:rsidR="00FA2DBE" w:rsidRPr="0087235C">
              <w:rPr>
                <w:rFonts w:ascii="Arial" w:eastAsia="Arial" w:hAnsi="Arial" w:cs="Arial"/>
                <w:bCs/>
                <w:sz w:val="14"/>
                <w:szCs w:val="14"/>
              </w:rPr>
              <w:t xml:space="preserve"> </w:t>
            </w:r>
            <w:r w:rsidR="0045113B" w:rsidRPr="0087235C">
              <w:rPr>
                <w:rFonts w:ascii="Arial" w:eastAsia="Arial" w:hAnsi="Arial" w:cs="Arial"/>
                <w:bCs/>
                <w:sz w:val="14"/>
                <w:szCs w:val="14"/>
              </w:rPr>
              <w:t>4</w:t>
            </w:r>
          </w:p>
          <w:p w14:paraId="474F6487" w14:textId="0F0A2280" w:rsidR="0045113B" w:rsidRPr="0087235C" w:rsidRDefault="0034165F" w:rsidP="0013421F">
            <w:pPr>
              <w:spacing w:line="360" w:lineRule="auto"/>
              <w:ind w:left="40"/>
              <w:jc w:val="both"/>
              <w:rPr>
                <w:rFonts w:ascii="Arial" w:eastAsia="Arial" w:hAnsi="Arial" w:cs="Arial"/>
                <w:bCs/>
                <w:sz w:val="14"/>
                <w:szCs w:val="14"/>
              </w:rPr>
            </w:pPr>
            <w:r w:rsidRPr="0087235C">
              <w:rPr>
                <w:rFonts w:ascii="Arial" w:eastAsia="Arial" w:hAnsi="Arial" w:cs="Arial"/>
                <w:bCs/>
                <w:sz w:val="14"/>
                <w:szCs w:val="14"/>
              </w:rPr>
              <w:t xml:space="preserve">          </w:t>
            </w:r>
            <w:r w:rsidR="00FA2DBE" w:rsidRPr="0087235C">
              <w:rPr>
                <w:rFonts w:ascii="Arial" w:eastAsia="Arial" w:hAnsi="Arial" w:cs="Arial"/>
                <w:bCs/>
                <w:sz w:val="14"/>
                <w:szCs w:val="14"/>
              </w:rPr>
              <w:t xml:space="preserve">2.3 </w:t>
            </w:r>
            <w:r w:rsidR="0045113B" w:rsidRPr="0087235C">
              <w:rPr>
                <w:rFonts w:ascii="Arial" w:eastAsia="Arial" w:hAnsi="Arial" w:cs="Arial"/>
                <w:bCs/>
                <w:sz w:val="14"/>
                <w:szCs w:val="14"/>
              </w:rPr>
              <w:t xml:space="preserve">Recuperación económica </w:t>
            </w:r>
            <w:r w:rsidR="00FA2DBE" w:rsidRPr="0087235C">
              <w:rPr>
                <w:rFonts w:ascii="Arial" w:eastAsia="Arial" w:hAnsi="Arial" w:cs="Arial"/>
                <w:bCs/>
                <w:sz w:val="14"/>
                <w:szCs w:val="14"/>
              </w:rPr>
              <w:t>……………………</w:t>
            </w:r>
            <w:r w:rsidRPr="0087235C">
              <w:rPr>
                <w:rFonts w:ascii="Arial" w:eastAsia="Arial" w:hAnsi="Arial" w:cs="Arial"/>
                <w:bCs/>
                <w:sz w:val="14"/>
                <w:szCs w:val="14"/>
              </w:rPr>
              <w:t>…</w:t>
            </w:r>
            <w:r w:rsidR="00437477" w:rsidRPr="0087235C">
              <w:rPr>
                <w:rFonts w:ascii="Arial" w:eastAsia="Arial" w:hAnsi="Arial" w:cs="Arial"/>
                <w:bCs/>
                <w:sz w:val="14"/>
                <w:szCs w:val="14"/>
              </w:rPr>
              <w:t>……</w:t>
            </w:r>
            <w:r w:rsidR="00437477">
              <w:rPr>
                <w:rFonts w:ascii="Arial" w:eastAsia="Arial" w:hAnsi="Arial" w:cs="Arial"/>
                <w:bCs/>
                <w:sz w:val="14"/>
                <w:szCs w:val="14"/>
              </w:rPr>
              <w:t>……</w:t>
            </w:r>
            <w:r w:rsidR="00FA2DBE" w:rsidRPr="0087235C">
              <w:rPr>
                <w:rFonts w:ascii="Arial" w:eastAsia="Arial" w:hAnsi="Arial" w:cs="Arial"/>
                <w:bCs/>
                <w:sz w:val="14"/>
                <w:szCs w:val="14"/>
              </w:rPr>
              <w:t xml:space="preserve"> </w:t>
            </w:r>
            <w:r w:rsidR="0045113B" w:rsidRPr="0087235C">
              <w:rPr>
                <w:rFonts w:ascii="Arial" w:eastAsia="Arial" w:hAnsi="Arial" w:cs="Arial"/>
                <w:bCs/>
                <w:sz w:val="14"/>
                <w:szCs w:val="14"/>
              </w:rPr>
              <w:t>5</w:t>
            </w:r>
          </w:p>
          <w:p w14:paraId="4BD078C4" w14:textId="77777777" w:rsidR="0045113B" w:rsidRPr="0087235C" w:rsidRDefault="0045113B" w:rsidP="002114B0">
            <w:pPr>
              <w:spacing w:line="360" w:lineRule="auto"/>
              <w:jc w:val="both"/>
              <w:rPr>
                <w:rFonts w:ascii="Arial" w:eastAsia="Arial" w:hAnsi="Arial" w:cs="Arial"/>
                <w:bCs/>
                <w:sz w:val="14"/>
                <w:szCs w:val="14"/>
              </w:rPr>
            </w:pPr>
          </w:p>
          <w:p w14:paraId="17B5DC5C" w14:textId="11B89DA9" w:rsidR="0045113B" w:rsidRPr="0087235C" w:rsidRDefault="0045113B" w:rsidP="002114B0">
            <w:pPr>
              <w:spacing w:line="360" w:lineRule="auto"/>
              <w:jc w:val="both"/>
              <w:rPr>
                <w:rFonts w:ascii="Arial" w:eastAsia="Arial" w:hAnsi="Arial" w:cs="Arial"/>
                <w:b/>
                <w:color w:val="002060"/>
                <w:sz w:val="14"/>
                <w:szCs w:val="14"/>
              </w:rPr>
            </w:pPr>
            <w:r w:rsidRPr="0087235C">
              <w:rPr>
                <w:rFonts w:ascii="Arial" w:eastAsia="Arial" w:hAnsi="Arial" w:cs="Arial"/>
                <w:b/>
                <w:color w:val="002060"/>
                <w:sz w:val="14"/>
                <w:szCs w:val="14"/>
              </w:rPr>
              <w:t>III. Principales avances del período junio 2025-junio 2026 ....</w:t>
            </w:r>
            <w:r w:rsidR="00FA2DBE" w:rsidRPr="0087235C">
              <w:rPr>
                <w:rFonts w:ascii="Arial" w:eastAsia="Arial" w:hAnsi="Arial" w:cs="Arial"/>
                <w:b/>
                <w:color w:val="002060"/>
                <w:sz w:val="14"/>
                <w:szCs w:val="14"/>
              </w:rPr>
              <w:t>..</w:t>
            </w:r>
            <w:r w:rsidR="00437477">
              <w:rPr>
                <w:rFonts w:ascii="Arial" w:eastAsia="Arial" w:hAnsi="Arial" w:cs="Arial"/>
                <w:b/>
                <w:color w:val="002060"/>
                <w:sz w:val="14"/>
                <w:szCs w:val="14"/>
              </w:rPr>
              <w:t>.</w:t>
            </w:r>
            <w:r w:rsidRPr="0087235C">
              <w:rPr>
                <w:rFonts w:ascii="Arial" w:eastAsia="Arial" w:hAnsi="Arial" w:cs="Arial"/>
                <w:b/>
                <w:color w:val="002060"/>
                <w:sz w:val="14"/>
                <w:szCs w:val="14"/>
              </w:rPr>
              <w:t xml:space="preserve"> 6</w:t>
            </w:r>
          </w:p>
          <w:p w14:paraId="36D37124" w14:textId="77777777" w:rsidR="0045113B" w:rsidRPr="0087235C" w:rsidRDefault="0045113B" w:rsidP="00060372">
            <w:pPr>
              <w:spacing w:line="360" w:lineRule="auto"/>
              <w:jc w:val="both"/>
              <w:rPr>
                <w:rFonts w:ascii="Arial" w:eastAsia="Arial" w:hAnsi="Arial" w:cs="Arial"/>
                <w:bCs/>
                <w:sz w:val="14"/>
                <w:szCs w:val="14"/>
              </w:rPr>
            </w:pPr>
          </w:p>
          <w:p w14:paraId="68A84300" w14:textId="08C3C316"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Seguridad</w:t>
            </w:r>
            <w:r w:rsidR="002050CA" w:rsidRPr="0087235C">
              <w:rPr>
                <w:rFonts w:ascii="Arial" w:eastAsia="Arial" w:hAnsi="Arial" w:cs="Arial"/>
                <w:bCs/>
                <w:sz w:val="14"/>
                <w:szCs w:val="14"/>
              </w:rPr>
              <w:t xml:space="preserve"> </w:t>
            </w:r>
            <w:r w:rsidRPr="0087235C">
              <w:rPr>
                <w:rFonts w:ascii="Arial" w:eastAsia="Arial" w:hAnsi="Arial" w:cs="Arial"/>
                <w:bCs/>
                <w:sz w:val="14"/>
                <w:szCs w:val="14"/>
              </w:rPr>
              <w:t>Pública ...................................................................</w:t>
            </w:r>
            <w:r w:rsidR="00437477">
              <w:rPr>
                <w:rFonts w:ascii="Arial" w:eastAsia="Arial" w:hAnsi="Arial" w:cs="Arial"/>
                <w:bCs/>
                <w:sz w:val="14"/>
                <w:szCs w:val="14"/>
              </w:rPr>
              <w:t>....</w:t>
            </w:r>
            <w:r w:rsidRPr="0087235C">
              <w:rPr>
                <w:rFonts w:ascii="Arial" w:eastAsia="Arial" w:hAnsi="Arial" w:cs="Arial"/>
                <w:bCs/>
                <w:sz w:val="14"/>
                <w:szCs w:val="14"/>
              </w:rPr>
              <w:t xml:space="preserve"> 6</w:t>
            </w:r>
          </w:p>
          <w:p w14:paraId="1A1F376F" w14:textId="06E38E08"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Salud ...................................................................................</w:t>
            </w:r>
            <w:r w:rsidR="00060372" w:rsidRPr="0087235C">
              <w:rPr>
                <w:rFonts w:ascii="Arial" w:eastAsia="Arial" w:hAnsi="Arial" w:cs="Arial"/>
                <w:bCs/>
                <w:sz w:val="14"/>
                <w:szCs w:val="14"/>
              </w:rPr>
              <w:t>......</w:t>
            </w:r>
            <w:r w:rsidR="00BD7694">
              <w:rPr>
                <w:rFonts w:ascii="Arial" w:eastAsia="Arial" w:hAnsi="Arial" w:cs="Arial"/>
                <w:bCs/>
                <w:sz w:val="14"/>
                <w:szCs w:val="14"/>
              </w:rPr>
              <w:t>..</w:t>
            </w:r>
            <w:r w:rsidR="00060372" w:rsidRPr="0087235C">
              <w:rPr>
                <w:rFonts w:ascii="Arial" w:eastAsia="Arial" w:hAnsi="Arial" w:cs="Arial"/>
                <w:bCs/>
                <w:sz w:val="14"/>
                <w:szCs w:val="14"/>
              </w:rPr>
              <w:t xml:space="preserve"> </w:t>
            </w:r>
            <w:r w:rsidRPr="0087235C">
              <w:rPr>
                <w:rFonts w:ascii="Arial" w:eastAsia="Arial" w:hAnsi="Arial" w:cs="Arial"/>
                <w:bCs/>
                <w:sz w:val="14"/>
                <w:szCs w:val="14"/>
              </w:rPr>
              <w:t>6</w:t>
            </w:r>
          </w:p>
          <w:p w14:paraId="3A9E6E66" w14:textId="5CDBA541"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Vivienda .............................................................................</w:t>
            </w:r>
            <w:r w:rsidR="00060372"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7</w:t>
            </w:r>
          </w:p>
          <w:p w14:paraId="6AFE070F" w14:textId="377A2F7A"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Agua y Emergencia Hídrica ....................................................</w:t>
            </w:r>
            <w:r w:rsidR="00BD7694">
              <w:rPr>
                <w:rFonts w:ascii="Arial" w:eastAsia="Arial" w:hAnsi="Arial" w:cs="Arial"/>
                <w:bCs/>
                <w:sz w:val="14"/>
                <w:szCs w:val="14"/>
              </w:rPr>
              <w:t>.....</w:t>
            </w:r>
            <w:r w:rsidRPr="0087235C">
              <w:rPr>
                <w:rFonts w:ascii="Arial" w:eastAsia="Arial" w:hAnsi="Arial" w:cs="Arial"/>
                <w:bCs/>
                <w:sz w:val="14"/>
                <w:szCs w:val="14"/>
              </w:rPr>
              <w:t xml:space="preserve"> 7</w:t>
            </w:r>
          </w:p>
          <w:p w14:paraId="2E61B9A5" w14:textId="3DCAE5BA"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Obras Públicas ........................................................................</w:t>
            </w:r>
            <w:r w:rsidR="00BD7694">
              <w:rPr>
                <w:rFonts w:ascii="Arial" w:eastAsia="Arial" w:hAnsi="Arial" w:cs="Arial"/>
                <w:bCs/>
                <w:sz w:val="14"/>
                <w:szCs w:val="14"/>
              </w:rPr>
              <w:t>....</w:t>
            </w:r>
            <w:r w:rsidRPr="0087235C">
              <w:rPr>
                <w:rFonts w:ascii="Arial" w:eastAsia="Arial" w:hAnsi="Arial" w:cs="Arial"/>
                <w:bCs/>
                <w:sz w:val="14"/>
                <w:szCs w:val="14"/>
              </w:rPr>
              <w:t xml:space="preserve"> 8</w:t>
            </w:r>
          </w:p>
          <w:p w14:paraId="761BB7B2" w14:textId="7563158B" w:rsidR="0045113B" w:rsidRPr="0087235C" w:rsidRDefault="0045113B" w:rsidP="00FA2DBE">
            <w:pPr>
              <w:pStyle w:val="Prrafodelista"/>
              <w:numPr>
                <w:ilvl w:val="0"/>
                <w:numId w:val="24"/>
              </w:numPr>
              <w:spacing w:line="360" w:lineRule="auto"/>
              <w:rPr>
                <w:rFonts w:ascii="Arial" w:eastAsia="Arial" w:hAnsi="Arial" w:cs="Arial"/>
                <w:bCs/>
                <w:sz w:val="14"/>
                <w:szCs w:val="14"/>
              </w:rPr>
            </w:pPr>
            <w:r w:rsidRPr="0087235C">
              <w:rPr>
                <w:rFonts w:ascii="Arial" w:eastAsia="Arial" w:hAnsi="Arial" w:cs="Arial"/>
                <w:bCs/>
                <w:sz w:val="14"/>
                <w:szCs w:val="14"/>
              </w:rPr>
              <w:t>Ciencia, Tecnología, Conocimiento e Innovación ...............</w:t>
            </w:r>
            <w:r w:rsidR="00BD7694">
              <w:rPr>
                <w:rFonts w:ascii="Arial" w:eastAsia="Arial" w:hAnsi="Arial" w:cs="Arial"/>
                <w:bCs/>
                <w:sz w:val="14"/>
                <w:szCs w:val="14"/>
              </w:rPr>
              <w:t xml:space="preserve">....... </w:t>
            </w:r>
            <w:r w:rsidRPr="0087235C">
              <w:rPr>
                <w:rFonts w:ascii="Arial" w:eastAsia="Arial" w:hAnsi="Arial" w:cs="Arial"/>
                <w:bCs/>
                <w:sz w:val="14"/>
                <w:szCs w:val="14"/>
              </w:rPr>
              <w:t>8</w:t>
            </w:r>
          </w:p>
          <w:p w14:paraId="20630FD1" w14:textId="337626DF"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Minería .....................................................</w:t>
            </w:r>
            <w:r w:rsidR="00FA2DBE"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9</w:t>
            </w:r>
          </w:p>
          <w:p w14:paraId="13628AFD" w14:textId="4678FDBE"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Cultura, las Artes y el Patrimonio ...................................</w:t>
            </w:r>
            <w:r w:rsidR="00FA2DBE"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9</w:t>
            </w:r>
          </w:p>
          <w:p w14:paraId="467AB904" w14:textId="51BDDB50"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Agricultura ...................................................................</w:t>
            </w:r>
            <w:r w:rsidR="0034165F" w:rsidRPr="0087235C">
              <w:rPr>
                <w:rFonts w:ascii="Arial" w:eastAsia="Arial" w:hAnsi="Arial" w:cs="Arial"/>
                <w:bCs/>
                <w:sz w:val="14"/>
                <w:szCs w:val="14"/>
              </w:rPr>
              <w:t>..........</w:t>
            </w:r>
            <w:r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10</w:t>
            </w:r>
          </w:p>
          <w:p w14:paraId="6D18B5A1" w14:textId="4E8C5B86"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Deportes .................................................................</w:t>
            </w:r>
            <w:r w:rsidR="0034165F"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11</w:t>
            </w:r>
          </w:p>
          <w:p w14:paraId="67FCBFE5" w14:textId="6A951B9D"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Energía ...............................................................................</w:t>
            </w:r>
            <w:r w:rsidR="0034165F"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11</w:t>
            </w:r>
          </w:p>
          <w:p w14:paraId="665AAF4C" w14:textId="704CF035"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Gobierno ...............................................</w:t>
            </w:r>
            <w:r w:rsidR="0034165F" w:rsidRPr="0087235C">
              <w:rPr>
                <w:rFonts w:ascii="Arial" w:eastAsia="Arial" w:hAnsi="Arial" w:cs="Arial"/>
                <w:bCs/>
                <w:sz w:val="14"/>
                <w:szCs w:val="14"/>
              </w:rPr>
              <w:t>.</w:t>
            </w:r>
            <w:r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12</w:t>
            </w:r>
          </w:p>
          <w:p w14:paraId="4003E128" w14:textId="4BF77DA4"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Transportes y Telecomunicaciones ...........</w:t>
            </w:r>
            <w:r w:rsidR="0034165F" w:rsidRPr="0087235C">
              <w:rPr>
                <w:rFonts w:ascii="Arial" w:eastAsia="Arial" w:hAnsi="Arial" w:cs="Arial"/>
                <w:bCs/>
                <w:sz w:val="14"/>
                <w:szCs w:val="14"/>
              </w:rPr>
              <w:t>......</w:t>
            </w:r>
            <w:r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12</w:t>
            </w:r>
          </w:p>
          <w:p w14:paraId="6FE1A09B" w14:textId="25BEFEAD"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Desarrollo Social y Familia ........................................</w:t>
            </w:r>
            <w:r w:rsidR="0034165F"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13</w:t>
            </w:r>
          </w:p>
          <w:p w14:paraId="3DDB5BC9" w14:textId="79B50999"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Bienes Nacionales ..........................................................</w:t>
            </w:r>
            <w:r w:rsidR="0034165F" w:rsidRPr="0087235C">
              <w:rPr>
                <w:rFonts w:ascii="Arial" w:eastAsia="Arial" w:hAnsi="Arial" w:cs="Arial"/>
                <w:bCs/>
                <w:sz w:val="14"/>
                <w:szCs w:val="14"/>
              </w:rPr>
              <w:t>......</w:t>
            </w:r>
            <w:r w:rsidR="00BD7694">
              <w:rPr>
                <w:rFonts w:ascii="Arial" w:eastAsia="Arial" w:hAnsi="Arial" w:cs="Arial"/>
                <w:bCs/>
                <w:sz w:val="14"/>
                <w:szCs w:val="14"/>
              </w:rPr>
              <w:t>..</w:t>
            </w:r>
            <w:r w:rsidRPr="0087235C">
              <w:rPr>
                <w:rFonts w:ascii="Arial" w:eastAsia="Arial" w:hAnsi="Arial" w:cs="Arial"/>
                <w:bCs/>
                <w:sz w:val="14"/>
                <w:szCs w:val="14"/>
              </w:rPr>
              <w:t xml:space="preserve"> 13</w:t>
            </w:r>
          </w:p>
          <w:p w14:paraId="235D0311" w14:textId="6073A299"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Mujer y Equidad de Género ...............................................</w:t>
            </w:r>
            <w:r w:rsidR="0034165F"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14</w:t>
            </w:r>
          </w:p>
          <w:p w14:paraId="424B5CDF" w14:textId="0FF5BEB7"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Economía, Fomento y Turismo .....................................</w:t>
            </w:r>
            <w:r w:rsidR="0034165F" w:rsidRPr="0087235C">
              <w:rPr>
                <w:rFonts w:ascii="Arial" w:eastAsia="Arial" w:hAnsi="Arial" w:cs="Arial"/>
                <w:bCs/>
                <w:sz w:val="14"/>
                <w:szCs w:val="14"/>
              </w:rPr>
              <w:t>.....</w:t>
            </w:r>
            <w:r w:rsidR="00087307">
              <w:rPr>
                <w:rFonts w:ascii="Arial" w:eastAsia="Arial" w:hAnsi="Arial" w:cs="Arial"/>
                <w:bCs/>
                <w:sz w:val="14"/>
                <w:szCs w:val="14"/>
              </w:rPr>
              <w:t>....</w:t>
            </w:r>
            <w:r w:rsidR="0034165F" w:rsidRPr="0087235C">
              <w:rPr>
                <w:rFonts w:ascii="Arial" w:eastAsia="Arial" w:hAnsi="Arial" w:cs="Arial"/>
                <w:bCs/>
                <w:sz w:val="14"/>
                <w:szCs w:val="14"/>
              </w:rPr>
              <w:t>.</w:t>
            </w:r>
            <w:r w:rsidRPr="0087235C">
              <w:rPr>
                <w:rFonts w:ascii="Arial" w:eastAsia="Arial" w:hAnsi="Arial" w:cs="Arial"/>
                <w:bCs/>
                <w:sz w:val="14"/>
                <w:szCs w:val="14"/>
              </w:rPr>
              <w:t xml:space="preserve"> 15</w:t>
            </w:r>
          </w:p>
          <w:p w14:paraId="6036AB9B" w14:textId="75BF338C"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Justicia y Derechos Humanos .....................................</w:t>
            </w:r>
            <w:r w:rsidR="0034165F"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16</w:t>
            </w:r>
          </w:p>
          <w:p w14:paraId="2C6235EC" w14:textId="0B813E99"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Educación .....................................................................</w:t>
            </w:r>
            <w:r w:rsidR="002430F6"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16</w:t>
            </w:r>
          </w:p>
          <w:p w14:paraId="4EBB65B1" w14:textId="55011F92"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Trabajo y Previsión Social .......................................</w:t>
            </w:r>
            <w:r w:rsidR="002430F6"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17</w:t>
            </w:r>
          </w:p>
          <w:p w14:paraId="063911AB" w14:textId="7EB97918"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Seremi del Medio Ambiente ...................................</w:t>
            </w:r>
            <w:r w:rsidR="002430F6"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17</w:t>
            </w:r>
          </w:p>
          <w:p w14:paraId="566782D8" w14:textId="7C5CCA33" w:rsidR="0045113B"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S</w:t>
            </w:r>
            <w:r w:rsidR="002430F6" w:rsidRPr="0087235C">
              <w:rPr>
                <w:rFonts w:ascii="Arial" w:eastAsia="Arial" w:hAnsi="Arial" w:cs="Arial"/>
                <w:bCs/>
                <w:sz w:val="14"/>
                <w:szCs w:val="14"/>
              </w:rPr>
              <w:t>UBDERE …..</w:t>
            </w:r>
            <w:r w:rsidRPr="0087235C">
              <w:rPr>
                <w:rFonts w:ascii="Arial" w:eastAsia="Arial" w:hAnsi="Arial" w:cs="Arial"/>
                <w:bCs/>
                <w:sz w:val="14"/>
                <w:szCs w:val="14"/>
              </w:rPr>
              <w:t>..........</w:t>
            </w:r>
            <w:r w:rsidR="002430F6" w:rsidRPr="0087235C">
              <w:rPr>
                <w:rFonts w:ascii="Arial" w:eastAsia="Arial" w:hAnsi="Arial" w:cs="Arial"/>
                <w:bCs/>
                <w:sz w:val="14"/>
                <w:szCs w:val="14"/>
              </w:rPr>
              <w:t>..............................................................</w:t>
            </w:r>
            <w:r w:rsidR="00087307">
              <w:rPr>
                <w:rFonts w:ascii="Arial" w:eastAsia="Arial" w:hAnsi="Arial" w:cs="Arial"/>
                <w:bCs/>
                <w:sz w:val="14"/>
                <w:szCs w:val="14"/>
              </w:rPr>
              <w:t>.</w:t>
            </w:r>
            <w:r w:rsidRPr="0087235C">
              <w:rPr>
                <w:rFonts w:ascii="Arial" w:eastAsia="Arial" w:hAnsi="Arial" w:cs="Arial"/>
                <w:bCs/>
                <w:sz w:val="14"/>
                <w:szCs w:val="14"/>
              </w:rPr>
              <w:t xml:space="preserve"> 18</w:t>
            </w:r>
          </w:p>
          <w:p w14:paraId="587BE4C6" w14:textId="68E8D0A4" w:rsidR="00B15037" w:rsidRPr="0087235C" w:rsidRDefault="0045113B" w:rsidP="002050CA">
            <w:pPr>
              <w:pStyle w:val="Prrafodelista"/>
              <w:numPr>
                <w:ilvl w:val="0"/>
                <w:numId w:val="24"/>
              </w:numPr>
              <w:spacing w:line="360" w:lineRule="auto"/>
              <w:jc w:val="both"/>
              <w:rPr>
                <w:rFonts w:ascii="Arial" w:eastAsia="Arial" w:hAnsi="Arial" w:cs="Arial"/>
                <w:bCs/>
                <w:sz w:val="14"/>
                <w:szCs w:val="14"/>
              </w:rPr>
            </w:pPr>
            <w:r w:rsidRPr="0087235C">
              <w:rPr>
                <w:rFonts w:ascii="Arial" w:eastAsia="Arial" w:hAnsi="Arial" w:cs="Arial"/>
                <w:bCs/>
                <w:sz w:val="14"/>
                <w:szCs w:val="14"/>
              </w:rPr>
              <w:t>Unidad de Pasos Fronterizos ..............................</w:t>
            </w:r>
            <w:r w:rsidR="002430F6" w:rsidRPr="0087235C">
              <w:rPr>
                <w:rFonts w:ascii="Arial" w:eastAsia="Arial" w:hAnsi="Arial" w:cs="Arial"/>
                <w:bCs/>
                <w:sz w:val="14"/>
                <w:szCs w:val="14"/>
              </w:rPr>
              <w:t>...............</w:t>
            </w:r>
            <w:r w:rsidRPr="0087235C">
              <w:rPr>
                <w:rFonts w:ascii="Arial" w:eastAsia="Arial" w:hAnsi="Arial" w:cs="Arial"/>
                <w:bCs/>
                <w:sz w:val="14"/>
                <w:szCs w:val="14"/>
              </w:rPr>
              <w:t>.</w:t>
            </w:r>
            <w:r w:rsidR="00087307">
              <w:rPr>
                <w:rFonts w:ascii="Arial" w:eastAsia="Arial" w:hAnsi="Arial" w:cs="Arial"/>
                <w:bCs/>
                <w:sz w:val="14"/>
                <w:szCs w:val="14"/>
              </w:rPr>
              <w:t>..</w:t>
            </w:r>
            <w:r w:rsidR="00953800">
              <w:rPr>
                <w:rFonts w:ascii="Arial" w:eastAsia="Arial" w:hAnsi="Arial" w:cs="Arial"/>
                <w:bCs/>
                <w:sz w:val="14"/>
                <w:szCs w:val="14"/>
              </w:rPr>
              <w:t xml:space="preserve">.. </w:t>
            </w:r>
            <w:r w:rsidRPr="0087235C">
              <w:rPr>
                <w:rFonts w:ascii="Arial" w:eastAsia="Arial" w:hAnsi="Arial" w:cs="Arial"/>
                <w:bCs/>
                <w:sz w:val="14"/>
                <w:szCs w:val="14"/>
              </w:rPr>
              <w:t>18</w:t>
            </w:r>
          </w:p>
        </w:tc>
        <w:tc>
          <w:tcPr>
            <w:tcW w:w="4414" w:type="dxa"/>
          </w:tcPr>
          <w:p w14:paraId="42AD1AF2" w14:textId="5B0ACC76"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
                <w:color w:val="002060"/>
                <w:sz w:val="14"/>
                <w:szCs w:val="14"/>
              </w:rPr>
              <w:t>IV. Avances 2026 y programación 2026-2027 ........................... 19</w:t>
            </w:r>
          </w:p>
          <w:p w14:paraId="05EF84E4" w14:textId="77777777" w:rsidR="0087235C" w:rsidRPr="0087235C" w:rsidRDefault="0087235C" w:rsidP="0087235C">
            <w:pPr>
              <w:spacing w:line="360" w:lineRule="auto"/>
              <w:jc w:val="both"/>
              <w:rPr>
                <w:rFonts w:ascii="Arial" w:eastAsia="Arial" w:hAnsi="Arial" w:cs="Arial"/>
                <w:bCs/>
                <w:sz w:val="14"/>
                <w:szCs w:val="14"/>
              </w:rPr>
            </w:pPr>
          </w:p>
          <w:p w14:paraId="50C9E389"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Seguridad Pública ........................................................................ 19</w:t>
            </w:r>
          </w:p>
          <w:p w14:paraId="6C2AEE43"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Vivienda ........................................................................................ 19</w:t>
            </w:r>
          </w:p>
          <w:p w14:paraId="460364F8" w14:textId="4852A4B5"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Cultura .......................................................................................... 20</w:t>
            </w:r>
          </w:p>
          <w:p w14:paraId="0B4555D7"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Agricultura .................................................................................... 20</w:t>
            </w:r>
          </w:p>
          <w:p w14:paraId="7DFAC11D" w14:textId="2585856D"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Deportes ....................................................................................... 21</w:t>
            </w:r>
          </w:p>
          <w:p w14:paraId="17CF7597" w14:textId="0DA6DB24"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Energía ......................................................................................... 22</w:t>
            </w:r>
          </w:p>
          <w:p w14:paraId="0CDEE5AB" w14:textId="553199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Gobierno ....................................................................................... 22</w:t>
            </w:r>
          </w:p>
          <w:p w14:paraId="5E1D935B" w14:textId="4AACC4ED"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Transportes y Telecomunicaciones ...........................................</w:t>
            </w:r>
            <w:r>
              <w:rPr>
                <w:rFonts w:ascii="Arial" w:eastAsia="Arial" w:hAnsi="Arial" w:cs="Arial"/>
                <w:bCs/>
                <w:sz w:val="14"/>
                <w:szCs w:val="14"/>
              </w:rPr>
              <w:t>...</w:t>
            </w:r>
            <w:r w:rsidRPr="0087235C">
              <w:rPr>
                <w:rFonts w:ascii="Arial" w:eastAsia="Arial" w:hAnsi="Arial" w:cs="Arial"/>
                <w:bCs/>
                <w:sz w:val="14"/>
                <w:szCs w:val="14"/>
              </w:rPr>
              <w:t xml:space="preserve"> 2</w:t>
            </w:r>
            <w:r w:rsidR="00524785">
              <w:rPr>
                <w:rFonts w:ascii="Arial" w:eastAsia="Arial" w:hAnsi="Arial" w:cs="Arial"/>
                <w:bCs/>
                <w:sz w:val="14"/>
                <w:szCs w:val="14"/>
              </w:rPr>
              <w:t>2</w:t>
            </w:r>
          </w:p>
          <w:p w14:paraId="2FAAF9C7" w14:textId="6711A2F1"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Desarrollo Social y Familia ........................................................</w:t>
            </w:r>
            <w:r>
              <w:rPr>
                <w:rFonts w:ascii="Arial" w:eastAsia="Arial" w:hAnsi="Arial" w:cs="Arial"/>
                <w:bCs/>
                <w:sz w:val="14"/>
                <w:szCs w:val="14"/>
              </w:rPr>
              <w:t>...</w:t>
            </w:r>
            <w:r w:rsidRPr="0087235C">
              <w:rPr>
                <w:rFonts w:ascii="Arial" w:eastAsia="Arial" w:hAnsi="Arial" w:cs="Arial"/>
                <w:bCs/>
                <w:sz w:val="14"/>
                <w:szCs w:val="14"/>
              </w:rPr>
              <w:t xml:space="preserve"> 23</w:t>
            </w:r>
          </w:p>
          <w:p w14:paraId="4D3D1A77" w14:textId="641E0BCA"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Bienes Nacionales .....................................................................</w:t>
            </w:r>
            <w:r>
              <w:rPr>
                <w:rFonts w:ascii="Arial" w:eastAsia="Arial" w:hAnsi="Arial" w:cs="Arial"/>
                <w:bCs/>
                <w:sz w:val="14"/>
                <w:szCs w:val="14"/>
              </w:rPr>
              <w:t>...</w:t>
            </w:r>
            <w:r w:rsidRPr="0087235C">
              <w:rPr>
                <w:rFonts w:ascii="Arial" w:eastAsia="Arial" w:hAnsi="Arial" w:cs="Arial"/>
                <w:bCs/>
                <w:sz w:val="14"/>
                <w:szCs w:val="14"/>
              </w:rPr>
              <w:t xml:space="preserve"> 23</w:t>
            </w:r>
          </w:p>
          <w:p w14:paraId="3C2D1289" w14:textId="34AD8518"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Mujer y Equidad de Género ......................................................</w:t>
            </w:r>
            <w:r>
              <w:rPr>
                <w:rFonts w:ascii="Arial" w:eastAsia="Arial" w:hAnsi="Arial" w:cs="Arial"/>
                <w:bCs/>
                <w:sz w:val="14"/>
                <w:szCs w:val="14"/>
              </w:rPr>
              <w:t>....</w:t>
            </w:r>
            <w:r w:rsidRPr="0087235C">
              <w:rPr>
                <w:rFonts w:ascii="Arial" w:eastAsia="Arial" w:hAnsi="Arial" w:cs="Arial"/>
                <w:bCs/>
                <w:sz w:val="14"/>
                <w:szCs w:val="14"/>
              </w:rPr>
              <w:t xml:space="preserve"> 2</w:t>
            </w:r>
            <w:r w:rsidR="00524785">
              <w:rPr>
                <w:rFonts w:ascii="Arial" w:eastAsia="Arial" w:hAnsi="Arial" w:cs="Arial"/>
                <w:bCs/>
                <w:sz w:val="14"/>
                <w:szCs w:val="14"/>
              </w:rPr>
              <w:t>3</w:t>
            </w:r>
          </w:p>
          <w:p w14:paraId="282CDA4D" w14:textId="1C196269"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Justicia y Derechos Humanos ..................................................</w:t>
            </w:r>
            <w:r>
              <w:rPr>
                <w:rFonts w:ascii="Arial" w:eastAsia="Arial" w:hAnsi="Arial" w:cs="Arial"/>
                <w:bCs/>
                <w:sz w:val="14"/>
                <w:szCs w:val="14"/>
              </w:rPr>
              <w:t>...</w:t>
            </w:r>
            <w:r w:rsidRPr="0087235C">
              <w:rPr>
                <w:rFonts w:ascii="Arial" w:eastAsia="Arial" w:hAnsi="Arial" w:cs="Arial"/>
                <w:bCs/>
                <w:sz w:val="14"/>
                <w:szCs w:val="14"/>
              </w:rPr>
              <w:t>. 24</w:t>
            </w:r>
          </w:p>
          <w:p w14:paraId="5BBF8F37" w14:textId="14E12160"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Educación ....................................................................................</w:t>
            </w:r>
            <w:r>
              <w:rPr>
                <w:rFonts w:ascii="Arial" w:eastAsia="Arial" w:hAnsi="Arial" w:cs="Arial"/>
                <w:bCs/>
                <w:sz w:val="14"/>
                <w:szCs w:val="14"/>
              </w:rPr>
              <w:t>.</w:t>
            </w:r>
            <w:r w:rsidRPr="0087235C">
              <w:rPr>
                <w:rFonts w:ascii="Arial" w:eastAsia="Arial" w:hAnsi="Arial" w:cs="Arial"/>
                <w:bCs/>
                <w:sz w:val="14"/>
                <w:szCs w:val="14"/>
              </w:rPr>
              <w:t xml:space="preserve"> 24</w:t>
            </w:r>
          </w:p>
          <w:p w14:paraId="5EE6299D" w14:textId="05A2F3FD"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Trabajo y Previsión Social .........................................................</w:t>
            </w:r>
            <w:r>
              <w:rPr>
                <w:rFonts w:ascii="Arial" w:eastAsia="Arial" w:hAnsi="Arial" w:cs="Arial"/>
                <w:bCs/>
                <w:sz w:val="14"/>
                <w:szCs w:val="14"/>
              </w:rPr>
              <w:t>...</w:t>
            </w:r>
            <w:r w:rsidRPr="0087235C">
              <w:rPr>
                <w:rFonts w:ascii="Arial" w:eastAsia="Arial" w:hAnsi="Arial" w:cs="Arial"/>
                <w:bCs/>
                <w:sz w:val="14"/>
                <w:szCs w:val="14"/>
              </w:rPr>
              <w:t xml:space="preserve"> 25</w:t>
            </w:r>
          </w:p>
          <w:p w14:paraId="3ED756CF" w14:textId="0F8DC3A1"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Pasos Fronterizos ......................................................................</w:t>
            </w:r>
            <w:r>
              <w:rPr>
                <w:rFonts w:ascii="Arial" w:eastAsia="Arial" w:hAnsi="Arial" w:cs="Arial"/>
                <w:bCs/>
                <w:sz w:val="14"/>
                <w:szCs w:val="14"/>
              </w:rPr>
              <w:t>..</w:t>
            </w:r>
            <w:r w:rsidRPr="0087235C">
              <w:rPr>
                <w:rFonts w:ascii="Arial" w:eastAsia="Arial" w:hAnsi="Arial" w:cs="Arial"/>
                <w:bCs/>
                <w:sz w:val="14"/>
                <w:szCs w:val="14"/>
              </w:rPr>
              <w:t xml:space="preserve"> 2</w:t>
            </w:r>
            <w:r w:rsidR="00524785">
              <w:rPr>
                <w:rFonts w:ascii="Arial" w:eastAsia="Arial" w:hAnsi="Arial" w:cs="Arial"/>
                <w:bCs/>
                <w:sz w:val="14"/>
                <w:szCs w:val="14"/>
              </w:rPr>
              <w:t>5</w:t>
            </w:r>
          </w:p>
          <w:p w14:paraId="662A16D1" w14:textId="3009060E"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Subsecretaría de Desarrollo Regional y Administrativo .........</w:t>
            </w:r>
            <w:r>
              <w:rPr>
                <w:rFonts w:ascii="Arial" w:eastAsia="Arial" w:hAnsi="Arial" w:cs="Arial"/>
                <w:bCs/>
                <w:sz w:val="14"/>
                <w:szCs w:val="14"/>
              </w:rPr>
              <w:t>......</w:t>
            </w:r>
            <w:r w:rsidRPr="0087235C">
              <w:rPr>
                <w:rFonts w:ascii="Arial" w:eastAsia="Arial" w:hAnsi="Arial" w:cs="Arial"/>
                <w:bCs/>
                <w:sz w:val="14"/>
                <w:szCs w:val="14"/>
              </w:rPr>
              <w:t xml:space="preserve"> 26</w:t>
            </w:r>
          </w:p>
          <w:p w14:paraId="77BA4509" w14:textId="4120CA33"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Medio Ambiente ........................................................................</w:t>
            </w:r>
            <w:r w:rsidR="00524785">
              <w:rPr>
                <w:rFonts w:ascii="Arial" w:eastAsia="Arial" w:hAnsi="Arial" w:cs="Arial"/>
                <w:bCs/>
                <w:sz w:val="14"/>
                <w:szCs w:val="14"/>
              </w:rPr>
              <w:t>.</w:t>
            </w:r>
            <w:r w:rsidRPr="0087235C">
              <w:rPr>
                <w:rFonts w:ascii="Arial" w:eastAsia="Arial" w:hAnsi="Arial" w:cs="Arial"/>
                <w:bCs/>
                <w:sz w:val="14"/>
                <w:szCs w:val="14"/>
              </w:rPr>
              <w:t>.. 2</w:t>
            </w:r>
            <w:r w:rsidR="00524785">
              <w:rPr>
                <w:rFonts w:ascii="Arial" w:eastAsia="Arial" w:hAnsi="Arial" w:cs="Arial"/>
                <w:bCs/>
                <w:sz w:val="14"/>
                <w:szCs w:val="14"/>
              </w:rPr>
              <w:t>6</w:t>
            </w:r>
          </w:p>
          <w:p w14:paraId="3FF766CD"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Salud ............................................................................................ 27</w:t>
            </w:r>
          </w:p>
          <w:p w14:paraId="112F9C1E"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Minería ......................................................................................... 28</w:t>
            </w:r>
          </w:p>
          <w:p w14:paraId="6A84F5F9" w14:textId="24E052C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Ciencia, Tecnología, Conocimiento e Innovación ....................</w:t>
            </w:r>
            <w:r>
              <w:rPr>
                <w:rFonts w:ascii="Arial" w:eastAsia="Arial" w:hAnsi="Arial" w:cs="Arial"/>
                <w:bCs/>
                <w:sz w:val="14"/>
                <w:szCs w:val="14"/>
              </w:rPr>
              <w:t>....</w:t>
            </w:r>
            <w:r w:rsidRPr="0087235C">
              <w:rPr>
                <w:rFonts w:ascii="Arial" w:eastAsia="Arial" w:hAnsi="Arial" w:cs="Arial"/>
                <w:bCs/>
                <w:sz w:val="14"/>
                <w:szCs w:val="14"/>
              </w:rPr>
              <w:t xml:space="preserve"> 28</w:t>
            </w:r>
          </w:p>
          <w:p w14:paraId="09DD51D0" w14:textId="77777777"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Obras Públicas ............................................................................ 29</w:t>
            </w:r>
          </w:p>
          <w:p w14:paraId="0A9851D0" w14:textId="77777777" w:rsidR="0087235C" w:rsidRPr="0087235C" w:rsidRDefault="0087235C" w:rsidP="0087235C">
            <w:pPr>
              <w:spacing w:line="360" w:lineRule="auto"/>
              <w:jc w:val="both"/>
              <w:rPr>
                <w:rFonts w:ascii="Arial" w:eastAsia="Arial" w:hAnsi="Arial" w:cs="Arial"/>
                <w:bCs/>
                <w:sz w:val="14"/>
                <w:szCs w:val="14"/>
              </w:rPr>
            </w:pPr>
          </w:p>
          <w:p w14:paraId="1087435A" w14:textId="4CD46160" w:rsidR="0087235C" w:rsidRPr="0087235C" w:rsidRDefault="0087235C" w:rsidP="0087235C">
            <w:pPr>
              <w:spacing w:line="360" w:lineRule="auto"/>
              <w:jc w:val="both"/>
              <w:rPr>
                <w:rFonts w:ascii="Arial" w:eastAsia="Arial" w:hAnsi="Arial" w:cs="Arial"/>
                <w:b/>
                <w:color w:val="002060"/>
                <w:sz w:val="14"/>
                <w:szCs w:val="14"/>
              </w:rPr>
            </w:pPr>
            <w:r w:rsidRPr="0087235C">
              <w:rPr>
                <w:rFonts w:ascii="Arial" w:eastAsia="Arial" w:hAnsi="Arial" w:cs="Arial"/>
                <w:b/>
                <w:color w:val="002060"/>
                <w:sz w:val="14"/>
                <w:szCs w:val="14"/>
              </w:rPr>
              <w:t>V. Plan de Acción Regional 2026-2030 ....................................... 29</w:t>
            </w:r>
          </w:p>
          <w:p w14:paraId="302F7C4F" w14:textId="77777777" w:rsidR="0087235C" w:rsidRPr="0087235C" w:rsidRDefault="0087235C" w:rsidP="0087235C">
            <w:pPr>
              <w:spacing w:line="360" w:lineRule="auto"/>
              <w:jc w:val="both"/>
              <w:rPr>
                <w:rFonts w:ascii="Arial" w:eastAsia="Arial" w:hAnsi="Arial" w:cs="Arial"/>
                <w:bCs/>
                <w:sz w:val="14"/>
                <w:szCs w:val="14"/>
              </w:rPr>
            </w:pPr>
          </w:p>
          <w:p w14:paraId="28C0A769" w14:textId="1739D8F1" w:rsidR="0087235C" w:rsidRPr="0087235C" w:rsidRDefault="0087235C" w:rsidP="0087235C">
            <w:pPr>
              <w:pStyle w:val="Prrafodelista"/>
              <w:numPr>
                <w:ilvl w:val="0"/>
                <w:numId w:val="25"/>
              </w:numPr>
              <w:spacing w:line="360" w:lineRule="auto"/>
              <w:jc w:val="both"/>
              <w:rPr>
                <w:rFonts w:ascii="Arial" w:eastAsia="Arial" w:hAnsi="Arial" w:cs="Arial"/>
                <w:b/>
                <w:sz w:val="14"/>
                <w:szCs w:val="14"/>
              </w:rPr>
            </w:pPr>
            <w:r w:rsidRPr="0087235C">
              <w:rPr>
                <w:rFonts w:ascii="Arial" w:eastAsia="Arial" w:hAnsi="Arial" w:cs="Arial"/>
                <w:b/>
                <w:sz w:val="14"/>
                <w:szCs w:val="14"/>
              </w:rPr>
              <w:t>Programación 1 junio 2026 - 1 junio 2027 ............... 29</w:t>
            </w:r>
          </w:p>
          <w:p w14:paraId="01E33047" w14:textId="6D8FEDAE"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1 — Seguridad Pública ............................................................29</w:t>
            </w:r>
          </w:p>
          <w:p w14:paraId="03BFD210" w14:textId="24AA77E8"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2 — Crisis Hídrica ................................................................... 30</w:t>
            </w:r>
          </w:p>
          <w:p w14:paraId="70EA611D" w14:textId="45A0C22F"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3 — Reactivación Económica .................................................. 30</w:t>
            </w:r>
          </w:p>
          <w:p w14:paraId="6A9C9A4C" w14:textId="77777777" w:rsidR="0087235C" w:rsidRPr="0087235C" w:rsidRDefault="0087235C" w:rsidP="0087235C">
            <w:pPr>
              <w:spacing w:line="360" w:lineRule="auto"/>
              <w:jc w:val="both"/>
              <w:rPr>
                <w:rFonts w:ascii="Arial" w:eastAsia="Arial" w:hAnsi="Arial" w:cs="Arial"/>
                <w:bCs/>
                <w:sz w:val="14"/>
                <w:szCs w:val="14"/>
              </w:rPr>
            </w:pPr>
          </w:p>
          <w:p w14:paraId="14D84196" w14:textId="434652A0" w:rsidR="0087235C" w:rsidRPr="0087235C" w:rsidRDefault="0087235C" w:rsidP="0087235C">
            <w:pPr>
              <w:spacing w:line="360" w:lineRule="auto"/>
              <w:jc w:val="both"/>
              <w:rPr>
                <w:rFonts w:ascii="Arial" w:eastAsia="Arial" w:hAnsi="Arial" w:cs="Arial"/>
                <w:b/>
                <w:color w:val="002060"/>
                <w:sz w:val="14"/>
                <w:szCs w:val="14"/>
              </w:rPr>
            </w:pPr>
            <w:r w:rsidRPr="0087235C">
              <w:rPr>
                <w:rFonts w:ascii="Arial" w:eastAsia="Arial" w:hAnsi="Arial" w:cs="Arial"/>
                <w:b/>
                <w:color w:val="002060"/>
                <w:sz w:val="14"/>
                <w:szCs w:val="14"/>
              </w:rPr>
              <w:t>VI. Programación 2026-2030 ....................................................... 30</w:t>
            </w:r>
          </w:p>
          <w:p w14:paraId="4758C127" w14:textId="77777777" w:rsidR="0087235C" w:rsidRPr="0087235C" w:rsidRDefault="0087235C" w:rsidP="0087235C">
            <w:pPr>
              <w:spacing w:line="360" w:lineRule="auto"/>
              <w:jc w:val="both"/>
              <w:rPr>
                <w:rFonts w:ascii="Arial" w:eastAsia="Arial" w:hAnsi="Arial" w:cs="Arial"/>
                <w:bCs/>
                <w:sz w:val="14"/>
                <w:szCs w:val="14"/>
              </w:rPr>
            </w:pPr>
          </w:p>
          <w:p w14:paraId="32F6CEB5" w14:textId="75963C94"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1 — Seguridad y Crimen Organizado .................................... 30</w:t>
            </w:r>
          </w:p>
          <w:p w14:paraId="4164D1EA" w14:textId="2FA95F1F"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2 — Conectividad e Infraestructura Estratégica ...................... 31</w:t>
            </w:r>
          </w:p>
          <w:p w14:paraId="53D5E7E1" w14:textId="7664533F"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3 — Agua, Medio Ambiente y Adaptación Climática ............... 31</w:t>
            </w:r>
          </w:p>
          <w:p w14:paraId="502D95D4" w14:textId="501D954E" w:rsidR="0087235C"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4 — Desarrollo Económico, Minería y Astroturismo ............... 31</w:t>
            </w:r>
          </w:p>
          <w:p w14:paraId="2404733F" w14:textId="2078D658" w:rsidR="00B15037" w:rsidRPr="0087235C" w:rsidRDefault="0087235C" w:rsidP="0087235C">
            <w:pPr>
              <w:spacing w:line="360" w:lineRule="auto"/>
              <w:jc w:val="both"/>
              <w:rPr>
                <w:rFonts w:ascii="Arial" w:eastAsia="Arial" w:hAnsi="Arial" w:cs="Arial"/>
                <w:bCs/>
                <w:sz w:val="14"/>
                <w:szCs w:val="14"/>
              </w:rPr>
            </w:pPr>
            <w:r w:rsidRPr="0087235C">
              <w:rPr>
                <w:rFonts w:ascii="Arial" w:eastAsia="Arial" w:hAnsi="Arial" w:cs="Arial"/>
                <w:bCs/>
                <w:sz w:val="14"/>
                <w:szCs w:val="14"/>
              </w:rPr>
              <w:t>Eje 5 — Salud, Educación y Vivienda ........................................... 31</w:t>
            </w:r>
          </w:p>
        </w:tc>
      </w:tr>
    </w:tbl>
    <w:p w14:paraId="458C3418" w14:textId="77777777" w:rsidR="00B15037" w:rsidRPr="0087235C" w:rsidRDefault="00B15037" w:rsidP="00744FB6">
      <w:pPr>
        <w:spacing w:line="276" w:lineRule="auto"/>
        <w:jc w:val="both"/>
        <w:rPr>
          <w:rFonts w:ascii="Arial" w:eastAsia="Arial" w:hAnsi="Arial" w:cs="Arial"/>
          <w:bCs/>
          <w:sz w:val="20"/>
          <w:szCs w:val="20"/>
        </w:rPr>
      </w:pPr>
    </w:p>
    <w:p w14:paraId="51B2ABB6" w14:textId="77777777" w:rsidR="00FB3F74" w:rsidRPr="0087235C" w:rsidRDefault="00FB3F74" w:rsidP="00744FB6">
      <w:pPr>
        <w:spacing w:line="276" w:lineRule="auto"/>
        <w:jc w:val="both"/>
        <w:rPr>
          <w:rFonts w:ascii="Arial" w:eastAsia="Arial" w:hAnsi="Arial" w:cs="Arial"/>
          <w:bCs/>
          <w:sz w:val="20"/>
          <w:szCs w:val="20"/>
        </w:rPr>
      </w:pPr>
    </w:p>
    <w:p w14:paraId="13BA4294" w14:textId="77777777" w:rsidR="00FB3F74" w:rsidRPr="0087235C" w:rsidRDefault="00FB3F74" w:rsidP="00744FB6">
      <w:pPr>
        <w:spacing w:line="276" w:lineRule="auto"/>
        <w:jc w:val="both"/>
        <w:rPr>
          <w:rFonts w:ascii="Arial" w:eastAsia="Arial" w:hAnsi="Arial" w:cs="Arial"/>
          <w:bCs/>
          <w:sz w:val="20"/>
          <w:szCs w:val="20"/>
        </w:rPr>
      </w:pPr>
    </w:p>
    <w:p w14:paraId="642DB387" w14:textId="77777777" w:rsidR="00FB3F74" w:rsidRPr="0087235C" w:rsidRDefault="00FB3F74" w:rsidP="00744FB6">
      <w:pPr>
        <w:spacing w:line="276" w:lineRule="auto"/>
        <w:jc w:val="both"/>
        <w:rPr>
          <w:rFonts w:ascii="Arial" w:eastAsia="Arial" w:hAnsi="Arial" w:cs="Arial"/>
          <w:bCs/>
          <w:sz w:val="20"/>
          <w:szCs w:val="20"/>
        </w:rPr>
      </w:pPr>
    </w:p>
    <w:p w14:paraId="531C28CA" w14:textId="77777777" w:rsidR="00FB3F74" w:rsidRPr="0087235C" w:rsidRDefault="00FB3F74" w:rsidP="00744FB6">
      <w:pPr>
        <w:spacing w:line="276" w:lineRule="auto"/>
        <w:jc w:val="both"/>
        <w:rPr>
          <w:rFonts w:ascii="Arial" w:eastAsia="Arial" w:hAnsi="Arial" w:cs="Arial"/>
          <w:bCs/>
          <w:sz w:val="20"/>
          <w:szCs w:val="20"/>
        </w:rPr>
      </w:pPr>
    </w:p>
    <w:p w14:paraId="416A997C" w14:textId="77777777" w:rsidR="00FB3F74" w:rsidRPr="0087235C" w:rsidRDefault="00FB3F74" w:rsidP="00744FB6">
      <w:pPr>
        <w:spacing w:line="276" w:lineRule="auto"/>
        <w:jc w:val="both"/>
        <w:rPr>
          <w:rFonts w:ascii="Arial" w:eastAsia="Arial" w:hAnsi="Arial" w:cs="Arial"/>
          <w:bCs/>
          <w:sz w:val="20"/>
          <w:szCs w:val="20"/>
        </w:rPr>
      </w:pPr>
    </w:p>
    <w:p w14:paraId="56C2EB11" w14:textId="77777777" w:rsidR="00FB3F74" w:rsidRDefault="00FB3F74" w:rsidP="00744FB6">
      <w:pPr>
        <w:spacing w:line="276" w:lineRule="auto"/>
        <w:jc w:val="both"/>
        <w:rPr>
          <w:rFonts w:ascii="Arial" w:eastAsia="Arial" w:hAnsi="Arial" w:cs="Arial"/>
          <w:bCs/>
          <w:sz w:val="20"/>
          <w:szCs w:val="20"/>
        </w:rPr>
      </w:pPr>
    </w:p>
    <w:p w14:paraId="0C1753FF" w14:textId="77777777" w:rsidR="007A3B12" w:rsidRDefault="007A3B12" w:rsidP="00744FB6">
      <w:pPr>
        <w:spacing w:line="276" w:lineRule="auto"/>
        <w:jc w:val="both"/>
        <w:rPr>
          <w:rFonts w:ascii="Arial" w:eastAsia="Arial" w:hAnsi="Arial" w:cs="Arial"/>
          <w:bCs/>
          <w:sz w:val="20"/>
          <w:szCs w:val="20"/>
        </w:rPr>
      </w:pPr>
    </w:p>
    <w:p w14:paraId="3033A814" w14:textId="77777777" w:rsidR="007A3B12" w:rsidRDefault="007A3B12" w:rsidP="00744FB6">
      <w:pPr>
        <w:spacing w:line="276" w:lineRule="auto"/>
        <w:jc w:val="both"/>
        <w:rPr>
          <w:rFonts w:ascii="Arial" w:eastAsia="Arial" w:hAnsi="Arial" w:cs="Arial"/>
          <w:bCs/>
          <w:sz w:val="20"/>
          <w:szCs w:val="20"/>
        </w:rPr>
      </w:pPr>
    </w:p>
    <w:p w14:paraId="1A4CC0C3" w14:textId="77777777" w:rsidR="007A3B12" w:rsidRDefault="007A3B12" w:rsidP="00744FB6">
      <w:pPr>
        <w:spacing w:line="276" w:lineRule="auto"/>
        <w:jc w:val="both"/>
        <w:rPr>
          <w:rFonts w:ascii="Arial" w:eastAsia="Arial" w:hAnsi="Arial" w:cs="Arial"/>
          <w:bCs/>
          <w:sz w:val="20"/>
          <w:szCs w:val="20"/>
        </w:rPr>
      </w:pPr>
    </w:p>
    <w:p w14:paraId="46E1FD1C" w14:textId="77777777" w:rsidR="007A3B12" w:rsidRPr="0087235C" w:rsidRDefault="007A3B12" w:rsidP="00744FB6">
      <w:pPr>
        <w:spacing w:line="276" w:lineRule="auto"/>
        <w:jc w:val="both"/>
        <w:rPr>
          <w:rFonts w:ascii="Arial" w:eastAsia="Arial" w:hAnsi="Arial" w:cs="Arial"/>
          <w:bCs/>
          <w:sz w:val="20"/>
          <w:szCs w:val="20"/>
        </w:rPr>
      </w:pPr>
    </w:p>
    <w:p w14:paraId="15DFAA48" w14:textId="77777777" w:rsidR="00FB3F74" w:rsidRPr="0087235C" w:rsidRDefault="00FB3F74" w:rsidP="00744FB6">
      <w:pPr>
        <w:spacing w:line="276" w:lineRule="auto"/>
        <w:jc w:val="both"/>
        <w:rPr>
          <w:rFonts w:ascii="Arial" w:eastAsia="Arial" w:hAnsi="Arial" w:cs="Arial"/>
          <w:bCs/>
          <w:sz w:val="20"/>
          <w:szCs w:val="20"/>
        </w:rPr>
      </w:pPr>
    </w:p>
    <w:p w14:paraId="6F1D466A" w14:textId="4CA137FC" w:rsidR="00D37DBF" w:rsidRDefault="002F5871" w:rsidP="00744FB6">
      <w:pPr>
        <w:spacing w:line="276" w:lineRule="auto"/>
        <w:jc w:val="both"/>
        <w:rPr>
          <w:rFonts w:ascii="Arial" w:eastAsia="Arial" w:hAnsi="Arial" w:cs="Arial"/>
          <w:b/>
          <w:sz w:val="20"/>
          <w:szCs w:val="20"/>
        </w:rPr>
      </w:pPr>
      <w:r w:rsidRPr="002F5871">
        <w:rPr>
          <w:rFonts w:ascii="Arial" w:eastAsia="Arial" w:hAnsi="Arial" w:cs="Arial"/>
          <w:b/>
          <w:sz w:val="20"/>
          <w:szCs w:val="20"/>
        </w:rPr>
        <w:lastRenderedPageBreak/>
        <w:t xml:space="preserve">Cuenta Pública 2025 – 2026 Región </w:t>
      </w:r>
      <w:r>
        <w:rPr>
          <w:rFonts w:ascii="Arial" w:eastAsia="Arial" w:hAnsi="Arial" w:cs="Arial"/>
          <w:b/>
          <w:sz w:val="20"/>
          <w:szCs w:val="20"/>
        </w:rPr>
        <w:t>de</w:t>
      </w:r>
      <w:r w:rsidRPr="002F5871">
        <w:rPr>
          <w:rFonts w:ascii="Arial" w:eastAsia="Arial" w:hAnsi="Arial" w:cs="Arial"/>
          <w:b/>
          <w:sz w:val="20"/>
          <w:szCs w:val="20"/>
        </w:rPr>
        <w:t xml:space="preserve"> Coquimbo </w:t>
      </w:r>
    </w:p>
    <w:p w14:paraId="598753D4" w14:textId="77777777" w:rsidR="00895B75" w:rsidRDefault="00895B75" w:rsidP="00744FB6">
      <w:pPr>
        <w:spacing w:line="276" w:lineRule="auto"/>
        <w:jc w:val="both"/>
        <w:rPr>
          <w:rFonts w:ascii="Arial" w:eastAsia="Arial" w:hAnsi="Arial" w:cs="Arial"/>
          <w:b/>
          <w:sz w:val="20"/>
          <w:szCs w:val="20"/>
        </w:rPr>
      </w:pPr>
    </w:p>
    <w:p w14:paraId="3E85C461" w14:textId="639742C9" w:rsidR="00895B75" w:rsidRDefault="00895B75" w:rsidP="00744FB6">
      <w:pPr>
        <w:pStyle w:val="Prrafodelista"/>
        <w:numPr>
          <w:ilvl w:val="0"/>
          <w:numId w:val="13"/>
        </w:numPr>
        <w:spacing w:line="276" w:lineRule="auto"/>
        <w:jc w:val="both"/>
        <w:rPr>
          <w:rFonts w:ascii="Arial" w:eastAsia="Arial" w:hAnsi="Arial" w:cs="Arial"/>
          <w:b/>
          <w:sz w:val="20"/>
          <w:szCs w:val="20"/>
        </w:rPr>
      </w:pPr>
      <w:r w:rsidRPr="003F2911">
        <w:rPr>
          <w:rFonts w:ascii="Arial" w:eastAsia="Arial" w:hAnsi="Arial" w:cs="Arial"/>
          <w:b/>
          <w:sz w:val="20"/>
          <w:szCs w:val="20"/>
        </w:rPr>
        <w:t>Pres</w:t>
      </w:r>
      <w:r w:rsidR="003F2911" w:rsidRPr="003F2911">
        <w:rPr>
          <w:rFonts w:ascii="Arial" w:eastAsia="Arial" w:hAnsi="Arial" w:cs="Arial"/>
          <w:b/>
          <w:sz w:val="20"/>
          <w:szCs w:val="20"/>
        </w:rPr>
        <w:t>entación</w:t>
      </w:r>
    </w:p>
    <w:p w14:paraId="45B52A87" w14:textId="77777777" w:rsidR="00170FFE" w:rsidRPr="00170FFE" w:rsidRDefault="00170FFE" w:rsidP="00744FB6">
      <w:pPr>
        <w:spacing w:line="276" w:lineRule="auto"/>
        <w:ind w:firstLine="360"/>
        <w:jc w:val="both"/>
        <w:rPr>
          <w:rFonts w:ascii="Arial" w:eastAsia="Arial" w:hAnsi="Arial" w:cs="Arial"/>
          <w:bCs/>
          <w:sz w:val="20"/>
          <w:szCs w:val="20"/>
        </w:rPr>
      </w:pPr>
      <w:r w:rsidRPr="00170FFE">
        <w:rPr>
          <w:rFonts w:ascii="Arial" w:eastAsia="Arial" w:hAnsi="Arial" w:cs="Arial"/>
          <w:bCs/>
          <w:sz w:val="20"/>
          <w:szCs w:val="20"/>
        </w:rPr>
        <w:t>El presente documento constituye la Cuenta Pública Participativa de la Delegación Presidencial Regional de Coquimbo y da cuenta de la gestión institucional desarrollada entre el 1 de junio de 2025 y el 1 de junio de 2026.</w:t>
      </w:r>
    </w:p>
    <w:p w14:paraId="310346EC" w14:textId="77777777" w:rsidR="00170FFE" w:rsidRPr="00170FFE" w:rsidRDefault="00170FFE" w:rsidP="00744FB6">
      <w:pPr>
        <w:spacing w:line="276" w:lineRule="auto"/>
        <w:ind w:firstLine="360"/>
        <w:jc w:val="both"/>
        <w:rPr>
          <w:rFonts w:ascii="Arial" w:eastAsia="Arial" w:hAnsi="Arial" w:cs="Arial"/>
          <w:bCs/>
          <w:sz w:val="20"/>
          <w:szCs w:val="20"/>
        </w:rPr>
      </w:pPr>
      <w:r w:rsidRPr="00170FFE">
        <w:rPr>
          <w:rFonts w:ascii="Arial" w:eastAsia="Arial" w:hAnsi="Arial" w:cs="Arial"/>
          <w:bCs/>
          <w:sz w:val="20"/>
          <w:szCs w:val="20"/>
        </w:rPr>
        <w:t>El período informado comprende parte de la administración anterior y los primeros meses del Gobierno que asumió el 11 de marzo de 2026. Las políticas, programas, acciones y obras cuyos avances y resultados se presentan fueron impulsados por distintas administraciones, en aplicación del principio de continuidad del Estado, que exige mantener aquellas iniciativas que contribuyen al desarrollo y bienestar de la comunidad, así como revisar y corregir aquellas que no alcanzan los resultados esperados.</w:t>
      </w:r>
    </w:p>
    <w:p w14:paraId="0254A3BF" w14:textId="400318C3" w:rsidR="003F2911" w:rsidRDefault="00170FFE" w:rsidP="00744FB6">
      <w:pPr>
        <w:spacing w:line="276" w:lineRule="auto"/>
        <w:ind w:firstLine="360"/>
        <w:jc w:val="both"/>
        <w:rPr>
          <w:rFonts w:ascii="Arial" w:eastAsia="Arial" w:hAnsi="Arial" w:cs="Arial"/>
          <w:bCs/>
          <w:sz w:val="20"/>
          <w:szCs w:val="20"/>
        </w:rPr>
      </w:pPr>
      <w:r w:rsidRPr="00170FFE">
        <w:rPr>
          <w:rFonts w:ascii="Arial" w:eastAsia="Arial" w:hAnsi="Arial" w:cs="Arial"/>
          <w:bCs/>
          <w:sz w:val="20"/>
          <w:szCs w:val="20"/>
        </w:rPr>
        <w:t>Este documento presenta una mirada general sobre la situación de la Región de Coquimbo y sus principales desafíos, las prioridades estratégicas definidas para el período, los avances alcanzados durante 2025 y los primeros meses de 2026, junto con la programación y las principales líneas de trabajo comprometidas para el período siguiente.</w:t>
      </w:r>
    </w:p>
    <w:p w14:paraId="35B65672" w14:textId="77777777" w:rsidR="00F632FA" w:rsidRDefault="00F632FA" w:rsidP="00744FB6">
      <w:pPr>
        <w:spacing w:line="276" w:lineRule="auto"/>
        <w:ind w:firstLine="360"/>
        <w:jc w:val="both"/>
        <w:rPr>
          <w:rFonts w:ascii="Arial" w:eastAsia="Arial" w:hAnsi="Arial" w:cs="Arial"/>
          <w:bCs/>
          <w:sz w:val="20"/>
          <w:szCs w:val="20"/>
        </w:rPr>
      </w:pPr>
    </w:p>
    <w:p w14:paraId="5A90A2DA" w14:textId="4D453DAA" w:rsidR="00F632FA" w:rsidRPr="007876D4" w:rsidRDefault="00F632FA" w:rsidP="00744FB6">
      <w:pPr>
        <w:pStyle w:val="Prrafodelista"/>
        <w:numPr>
          <w:ilvl w:val="0"/>
          <w:numId w:val="13"/>
        </w:numPr>
        <w:spacing w:line="276" w:lineRule="auto"/>
        <w:jc w:val="both"/>
        <w:rPr>
          <w:rFonts w:ascii="Arial" w:eastAsia="Arial" w:hAnsi="Arial" w:cs="Arial"/>
          <w:b/>
          <w:sz w:val="20"/>
          <w:szCs w:val="20"/>
        </w:rPr>
      </w:pPr>
      <w:r w:rsidRPr="007876D4">
        <w:rPr>
          <w:rFonts w:ascii="Arial" w:eastAsia="Arial" w:hAnsi="Arial" w:cs="Arial"/>
          <w:b/>
          <w:sz w:val="20"/>
          <w:szCs w:val="20"/>
        </w:rPr>
        <w:t>Situación regional</w:t>
      </w:r>
    </w:p>
    <w:p w14:paraId="766E583D" w14:textId="00A02482" w:rsidR="00F632FA" w:rsidRDefault="007876D4" w:rsidP="00744FB6">
      <w:pPr>
        <w:pStyle w:val="Prrafodelista"/>
        <w:numPr>
          <w:ilvl w:val="0"/>
          <w:numId w:val="14"/>
        </w:numPr>
        <w:spacing w:line="276" w:lineRule="auto"/>
        <w:jc w:val="both"/>
        <w:rPr>
          <w:rFonts w:ascii="Arial" w:eastAsia="Arial" w:hAnsi="Arial" w:cs="Arial"/>
          <w:b/>
          <w:sz w:val="20"/>
          <w:szCs w:val="20"/>
        </w:rPr>
      </w:pPr>
      <w:r w:rsidRPr="007876D4">
        <w:rPr>
          <w:rFonts w:ascii="Arial" w:eastAsia="Arial" w:hAnsi="Arial" w:cs="Arial"/>
          <w:b/>
          <w:sz w:val="20"/>
          <w:szCs w:val="20"/>
        </w:rPr>
        <w:t>Caracterización territorial y demográfica</w:t>
      </w:r>
    </w:p>
    <w:p w14:paraId="36B3B6A6" w14:textId="77777777" w:rsidR="008E1520" w:rsidRPr="008E1520" w:rsidRDefault="008E1520" w:rsidP="00744FB6">
      <w:pPr>
        <w:spacing w:line="276" w:lineRule="auto"/>
        <w:jc w:val="both"/>
        <w:rPr>
          <w:rFonts w:ascii="Arial" w:eastAsia="Arial" w:hAnsi="Arial" w:cs="Arial"/>
          <w:bCs/>
          <w:sz w:val="20"/>
          <w:szCs w:val="20"/>
        </w:rPr>
      </w:pPr>
      <w:r w:rsidRPr="008E1520">
        <w:rPr>
          <w:rFonts w:ascii="Arial" w:eastAsia="Arial" w:hAnsi="Arial" w:cs="Arial"/>
          <w:bCs/>
          <w:sz w:val="20"/>
          <w:szCs w:val="20"/>
        </w:rPr>
        <w:t>La Región de Coquimbo se ubica en la zona centro-norte de Chile y constituye un territorio de transición entre el norte árido y la zona central. Su geografía está marcada por los valles transversales de Elqui, Limarí y Choapa, que conectan la cordillera de los Andes con el océano Pacífico y favorecen el desarrollo de actividades agrícolas, mineras, portuarias, pesqueras, turísticas y científicas.</w:t>
      </w:r>
    </w:p>
    <w:p w14:paraId="789EFA5B" w14:textId="77777777" w:rsidR="008E1520" w:rsidRPr="008E1520" w:rsidRDefault="008E1520" w:rsidP="00744FB6">
      <w:pPr>
        <w:spacing w:line="276" w:lineRule="auto"/>
        <w:jc w:val="both"/>
        <w:rPr>
          <w:rFonts w:ascii="Arial" w:eastAsia="Arial" w:hAnsi="Arial" w:cs="Arial"/>
          <w:bCs/>
          <w:sz w:val="20"/>
          <w:szCs w:val="20"/>
        </w:rPr>
      </w:pPr>
      <w:r w:rsidRPr="008E1520">
        <w:rPr>
          <w:rFonts w:ascii="Arial" w:eastAsia="Arial" w:hAnsi="Arial" w:cs="Arial"/>
          <w:bCs/>
          <w:sz w:val="20"/>
          <w:szCs w:val="20"/>
        </w:rPr>
        <w:t>La región posee una superficie de 40 mil 579,9 kilómetros cuadrados y se organiza administrativamente en tres provincias —Elqui, Limarí y Choapa— y quince comunas. De acuerdo con el Censo 2024, cuenta con 832 mil 864 habitantes y una densidad de 20,52 habitantes por kilómetro cuadrado.</w:t>
      </w:r>
    </w:p>
    <w:p w14:paraId="155DE7D2" w14:textId="36ED051B" w:rsidR="008E1520" w:rsidRPr="008E1520" w:rsidRDefault="008E1520" w:rsidP="00744FB6">
      <w:pPr>
        <w:spacing w:line="276" w:lineRule="auto"/>
        <w:jc w:val="both"/>
        <w:rPr>
          <w:rFonts w:ascii="Arial" w:eastAsia="Arial" w:hAnsi="Arial" w:cs="Arial"/>
          <w:bCs/>
          <w:sz w:val="20"/>
          <w:szCs w:val="20"/>
        </w:rPr>
      </w:pPr>
      <w:r w:rsidRPr="008E1520">
        <w:rPr>
          <w:rFonts w:ascii="Arial" w:eastAsia="Arial" w:hAnsi="Arial" w:cs="Arial"/>
          <w:bCs/>
          <w:sz w:val="20"/>
          <w:szCs w:val="20"/>
        </w:rPr>
        <w:t>La población se concentra principalmente en las comunas de La Serena y Coquimbo, que reúnen cerca del 62 por ciento de los habitantes regionales, mientras Ovalle constituye el principal centro urbano de Limarí. En contraste, las comunas rurales presentan localidades dispersas y de difícil acceso, lo que genera desafíos para la conectividad, la infraestructura y la provisión oportuna de servicios públicos.</w:t>
      </w:r>
      <w:r>
        <w:rPr>
          <w:rFonts w:ascii="Arial" w:eastAsia="Arial" w:hAnsi="Arial" w:cs="Arial"/>
          <w:bCs/>
          <w:sz w:val="20"/>
          <w:szCs w:val="20"/>
        </w:rPr>
        <w:t xml:space="preserve"> </w:t>
      </w:r>
      <w:r w:rsidRPr="008E1520">
        <w:rPr>
          <w:rFonts w:ascii="Arial" w:eastAsia="Arial" w:hAnsi="Arial" w:cs="Arial"/>
          <w:bCs/>
          <w:sz w:val="20"/>
          <w:szCs w:val="20"/>
        </w:rPr>
        <w:t>A ello se suman el envejecimiento progresivo de la población, el crecimiento de los principales centros urbanos y las brechas entre los territorios urbanos y rurales. La prolongada escasez hídrica y las condiciones climáticas semiáridas también afectan el abastecimiento de agua, las actividades productivas y la calidad de vida, haciendo prioritario fortalecer la seguridad hídrica, la conectividad y la presencia efectiva del Estado en las quince comunas.</w:t>
      </w:r>
    </w:p>
    <w:p w14:paraId="73459EEA" w14:textId="77777777" w:rsidR="00697FD0" w:rsidRPr="008F3466" w:rsidRDefault="00697FD0" w:rsidP="00744FB6">
      <w:pPr>
        <w:spacing w:line="276" w:lineRule="auto"/>
        <w:ind w:firstLine="360"/>
        <w:jc w:val="both"/>
        <w:rPr>
          <w:rFonts w:ascii="Arial" w:eastAsia="Arial" w:hAnsi="Arial" w:cs="Arial"/>
          <w:bCs/>
          <w:sz w:val="20"/>
          <w:szCs w:val="20"/>
        </w:rPr>
      </w:pPr>
    </w:p>
    <w:p w14:paraId="2B49D8A8" w14:textId="6B87E26E" w:rsidR="00D00259" w:rsidRPr="0014215F" w:rsidRDefault="002A0DB9" w:rsidP="00744FB6">
      <w:pPr>
        <w:pStyle w:val="Prrafodelista"/>
        <w:numPr>
          <w:ilvl w:val="0"/>
          <w:numId w:val="14"/>
        </w:numPr>
        <w:spacing w:line="276" w:lineRule="auto"/>
        <w:jc w:val="both"/>
        <w:rPr>
          <w:rFonts w:ascii="Arial" w:eastAsia="Arial" w:hAnsi="Arial" w:cs="Arial"/>
          <w:b/>
          <w:sz w:val="20"/>
          <w:szCs w:val="20"/>
        </w:rPr>
      </w:pPr>
      <w:r w:rsidRPr="0014215F">
        <w:rPr>
          <w:rFonts w:ascii="Arial" w:eastAsia="Arial" w:hAnsi="Arial" w:cs="Arial"/>
          <w:b/>
          <w:sz w:val="20"/>
          <w:szCs w:val="20"/>
        </w:rPr>
        <w:t>Definiciones estratégicas</w:t>
      </w:r>
      <w:r w:rsidR="0014215F" w:rsidRPr="0014215F">
        <w:rPr>
          <w:rFonts w:ascii="Arial" w:eastAsia="Arial" w:hAnsi="Arial" w:cs="Arial"/>
          <w:b/>
          <w:sz w:val="20"/>
          <w:szCs w:val="20"/>
        </w:rPr>
        <w:t xml:space="preserve"> y principales desafíos</w:t>
      </w:r>
    </w:p>
    <w:p w14:paraId="6A003A79" w14:textId="77777777" w:rsidR="00BA6AC5" w:rsidRPr="008F3466" w:rsidRDefault="00BA6AC5" w:rsidP="00744FB6">
      <w:pPr>
        <w:spacing w:line="276" w:lineRule="auto"/>
        <w:jc w:val="both"/>
        <w:rPr>
          <w:rFonts w:ascii="Arial" w:eastAsia="Arial" w:hAnsi="Arial" w:cs="Arial"/>
          <w:sz w:val="20"/>
          <w:szCs w:val="20"/>
        </w:rPr>
      </w:pPr>
    </w:p>
    <w:p w14:paraId="1AA3E7FB" w14:textId="2664208E" w:rsidR="00BA6AC5" w:rsidRDefault="00CC0A04"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La Región de Coquimbo presenta desafíos estructurales que la posicionan como un territorio prioritario dentro del Programa de Gobierno 2026–2030. Las definiciones estratégicas de esta Delegación Presidencial Regional se articulan en torno a tres ejes declarados por el </w:t>
      </w:r>
      <w:proofErr w:type="gramStart"/>
      <w:r w:rsidRPr="008F3466">
        <w:rPr>
          <w:rFonts w:ascii="Arial" w:eastAsia="Arial" w:hAnsi="Arial" w:cs="Arial"/>
          <w:sz w:val="20"/>
          <w:szCs w:val="20"/>
        </w:rPr>
        <w:t>Presidente</w:t>
      </w:r>
      <w:proofErr w:type="gramEnd"/>
      <w:r w:rsidRPr="008F3466">
        <w:rPr>
          <w:rFonts w:ascii="Arial" w:eastAsia="Arial" w:hAnsi="Arial" w:cs="Arial"/>
          <w:sz w:val="20"/>
          <w:szCs w:val="20"/>
        </w:rPr>
        <w:t xml:space="preserve"> de la República: Seguridad Pública, Crisis Hídrica y Reactivación Económica.</w:t>
      </w:r>
    </w:p>
    <w:p w14:paraId="5302E727" w14:textId="77777777" w:rsidR="00783495" w:rsidRDefault="00783495" w:rsidP="00744FB6">
      <w:pPr>
        <w:spacing w:line="276" w:lineRule="auto"/>
        <w:ind w:firstLine="360"/>
        <w:jc w:val="both"/>
        <w:rPr>
          <w:rFonts w:ascii="Arial" w:eastAsia="Arial" w:hAnsi="Arial" w:cs="Arial"/>
          <w:sz w:val="20"/>
          <w:szCs w:val="20"/>
        </w:rPr>
      </w:pPr>
    </w:p>
    <w:p w14:paraId="058BF772" w14:textId="77777777" w:rsidR="007A3B12" w:rsidRDefault="007A3B12" w:rsidP="00744FB6">
      <w:pPr>
        <w:spacing w:line="276" w:lineRule="auto"/>
        <w:ind w:firstLine="360"/>
        <w:jc w:val="both"/>
        <w:rPr>
          <w:rFonts w:ascii="Arial" w:eastAsia="Arial" w:hAnsi="Arial" w:cs="Arial"/>
          <w:sz w:val="20"/>
          <w:szCs w:val="20"/>
        </w:rPr>
      </w:pPr>
    </w:p>
    <w:p w14:paraId="584726A4" w14:textId="77777777" w:rsidR="007A3B12" w:rsidRDefault="007A3B12" w:rsidP="00744FB6">
      <w:pPr>
        <w:spacing w:line="276" w:lineRule="auto"/>
        <w:ind w:firstLine="360"/>
        <w:jc w:val="both"/>
        <w:rPr>
          <w:rFonts w:ascii="Arial" w:eastAsia="Arial" w:hAnsi="Arial" w:cs="Arial"/>
          <w:sz w:val="20"/>
          <w:szCs w:val="20"/>
        </w:rPr>
      </w:pPr>
    </w:p>
    <w:p w14:paraId="3627910B" w14:textId="77777777" w:rsidR="007A3B12" w:rsidRPr="008F3466" w:rsidRDefault="007A3B12" w:rsidP="00744FB6">
      <w:pPr>
        <w:spacing w:line="276" w:lineRule="auto"/>
        <w:ind w:firstLine="360"/>
        <w:jc w:val="both"/>
        <w:rPr>
          <w:rFonts w:ascii="Arial" w:eastAsia="Arial" w:hAnsi="Arial" w:cs="Arial"/>
          <w:sz w:val="20"/>
          <w:szCs w:val="20"/>
        </w:rPr>
      </w:pPr>
    </w:p>
    <w:p w14:paraId="39ED2F8A" w14:textId="77777777" w:rsidR="00BA6AC5" w:rsidRPr="008F3466" w:rsidRDefault="00BA6AC5" w:rsidP="00744FB6">
      <w:pPr>
        <w:spacing w:line="276" w:lineRule="auto"/>
        <w:jc w:val="both"/>
        <w:rPr>
          <w:rFonts w:ascii="Arial" w:eastAsia="Arial" w:hAnsi="Arial" w:cs="Arial"/>
          <w:sz w:val="20"/>
          <w:szCs w:val="20"/>
        </w:rPr>
      </w:pPr>
    </w:p>
    <w:p w14:paraId="5AE58724" w14:textId="697A2F93" w:rsidR="006E2900" w:rsidRDefault="00CC0A04" w:rsidP="00744FB6">
      <w:pPr>
        <w:pStyle w:val="Prrafodelista"/>
        <w:numPr>
          <w:ilvl w:val="1"/>
          <w:numId w:val="14"/>
        </w:numPr>
        <w:spacing w:line="276" w:lineRule="auto"/>
        <w:jc w:val="both"/>
        <w:rPr>
          <w:rFonts w:ascii="Arial" w:eastAsia="Arial" w:hAnsi="Arial" w:cs="Arial"/>
          <w:b/>
          <w:sz w:val="20"/>
          <w:szCs w:val="20"/>
        </w:rPr>
      </w:pPr>
      <w:r w:rsidRPr="00924D64">
        <w:rPr>
          <w:rFonts w:ascii="Arial" w:eastAsia="Arial" w:hAnsi="Arial" w:cs="Arial"/>
          <w:b/>
          <w:sz w:val="20"/>
          <w:szCs w:val="20"/>
        </w:rPr>
        <w:lastRenderedPageBreak/>
        <w:t>S</w:t>
      </w:r>
      <w:r w:rsidR="006E2900" w:rsidRPr="00924D64">
        <w:rPr>
          <w:rFonts w:ascii="Arial" w:eastAsia="Arial" w:hAnsi="Arial" w:cs="Arial"/>
          <w:b/>
          <w:sz w:val="20"/>
          <w:szCs w:val="20"/>
        </w:rPr>
        <w:t>eguridad pública</w:t>
      </w:r>
    </w:p>
    <w:p w14:paraId="738CC9D8" w14:textId="77777777" w:rsidR="00924D64" w:rsidRPr="00924D64" w:rsidRDefault="00924D64" w:rsidP="00744FB6">
      <w:pPr>
        <w:pStyle w:val="Prrafodelista"/>
        <w:spacing w:line="276" w:lineRule="auto"/>
        <w:jc w:val="both"/>
        <w:rPr>
          <w:rFonts w:ascii="Arial" w:eastAsia="Arial" w:hAnsi="Arial" w:cs="Arial"/>
          <w:b/>
          <w:sz w:val="20"/>
          <w:szCs w:val="20"/>
        </w:rPr>
      </w:pPr>
    </w:p>
    <w:p w14:paraId="2318B2C7" w14:textId="6EE06123" w:rsidR="00CB68E3" w:rsidRPr="008F3466" w:rsidRDefault="00CB68E3"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La seguridad pública es condición habilitante para el desarrollo regional. El Programa de Gobierno 2026–2030 plantea recuperar el orden y la autoridad del Estado mediante mayor presencia policial, persecución eficaz del crimen organizado y fortalecimiento de la coordinación interinstitucional. </w:t>
      </w:r>
    </w:p>
    <w:p w14:paraId="6E53A20E" w14:textId="1965D6C4" w:rsidR="003A3B9A" w:rsidRPr="008F3466" w:rsidRDefault="003A3B9A"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La Región de Coquimbo enfrenta fenómenos delictuales complejos que afectan tanto la seguridad de las personas como el desarrollo de actividades productivas estratégicas. Entre ellos destacan el robo de cables de cobre, especialmente en sectores agrícolas y rurales de la provincia del Limarí, y </w:t>
      </w:r>
      <w:proofErr w:type="gramStart"/>
      <w:r w:rsidRPr="008F3466">
        <w:rPr>
          <w:rFonts w:ascii="Arial" w:eastAsia="Arial" w:hAnsi="Arial" w:cs="Arial"/>
          <w:sz w:val="20"/>
          <w:szCs w:val="20"/>
        </w:rPr>
        <w:t xml:space="preserve">los </w:t>
      </w:r>
      <w:r w:rsidR="00F1725D" w:rsidRPr="008F3466">
        <w:rPr>
          <w:rFonts w:ascii="Arial" w:eastAsia="Arial" w:hAnsi="Arial" w:cs="Arial"/>
          <w:sz w:val="20"/>
          <w:szCs w:val="20"/>
        </w:rPr>
        <w:t>narco</w:t>
      </w:r>
      <w:proofErr w:type="gramEnd"/>
      <w:r w:rsidR="00F1725D" w:rsidRPr="008F3466">
        <w:rPr>
          <w:rFonts w:ascii="Arial" w:eastAsia="Arial" w:hAnsi="Arial" w:cs="Arial"/>
          <w:sz w:val="20"/>
          <w:szCs w:val="20"/>
        </w:rPr>
        <w:t xml:space="preserve"> cultivos</w:t>
      </w:r>
      <w:r w:rsidRPr="008F3466">
        <w:rPr>
          <w:rFonts w:ascii="Arial" w:eastAsia="Arial" w:hAnsi="Arial" w:cs="Arial"/>
          <w:sz w:val="20"/>
          <w:szCs w:val="20"/>
        </w:rPr>
        <w:t xml:space="preserve"> asociados al crimen organizado y al uso de territorios de difícil acceso geográfico.</w:t>
      </w:r>
    </w:p>
    <w:p w14:paraId="197CD385" w14:textId="77777777" w:rsidR="003A3B9A" w:rsidRPr="008F3466" w:rsidRDefault="003A3B9A"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De acuerdo con el balance anual de la Compañía General de Electricidad (CGE), la región lidera los indicadores nacionales de robo de cables, registrando más de 137 mil metros sustraídos, de los cuales cerca de 75 mil metros corresponden a la comuna de Ovalle. Las autoridades han advertido que estos delitos son ejecutados por bandas criminales organizadas con capacidad logística para el acopio, traslado y comercialización ilegal del cobre robado, afectando directamente el suministro eléctrico y las actividades productivas rurales.</w:t>
      </w:r>
    </w:p>
    <w:p w14:paraId="6A26B234" w14:textId="1CE8E718" w:rsidR="003A3B9A" w:rsidRPr="008F3466" w:rsidRDefault="003A3B9A"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En materia de </w:t>
      </w:r>
      <w:r w:rsidR="00F1725D" w:rsidRPr="008F3466">
        <w:rPr>
          <w:rFonts w:ascii="Arial" w:eastAsia="Arial" w:hAnsi="Arial" w:cs="Arial"/>
          <w:sz w:val="20"/>
          <w:szCs w:val="20"/>
        </w:rPr>
        <w:t>narco cultivos</w:t>
      </w:r>
      <w:r w:rsidRPr="008F3466">
        <w:rPr>
          <w:rFonts w:ascii="Arial" w:eastAsia="Arial" w:hAnsi="Arial" w:cs="Arial"/>
          <w:sz w:val="20"/>
          <w:szCs w:val="20"/>
        </w:rPr>
        <w:t>, la región se ha consolidado como uno de los principales territorios de producción ilícita de cannabis del país, registrando decomisos superiores a seis toneladas de droga durante el último periodo. Las investigaciones policiales han detectado estructuras de producción cada vez más sofisticadas, incluyendo sistemas de riego tecnificado, campamentos de procesamiento y redes de vigilancia armada en sectores cordilleranos y quebradas de difícil acceso.</w:t>
      </w:r>
    </w:p>
    <w:p w14:paraId="065E425B" w14:textId="77777777" w:rsidR="002B6931" w:rsidRPr="008F3466" w:rsidRDefault="002B6931" w:rsidP="00744FB6">
      <w:pPr>
        <w:spacing w:line="276" w:lineRule="auto"/>
        <w:jc w:val="both"/>
        <w:rPr>
          <w:rFonts w:ascii="Arial" w:eastAsia="Arial" w:hAnsi="Arial" w:cs="Arial"/>
          <w:sz w:val="20"/>
          <w:szCs w:val="20"/>
        </w:rPr>
      </w:pPr>
    </w:p>
    <w:p w14:paraId="4981DDB3" w14:textId="68BBC083" w:rsidR="00BD3AB1" w:rsidRPr="008F3466" w:rsidRDefault="00BD3AB1" w:rsidP="00744FB6">
      <w:pPr>
        <w:spacing w:line="276" w:lineRule="auto"/>
        <w:ind w:left="-360" w:firstLine="360"/>
        <w:jc w:val="both"/>
        <w:rPr>
          <w:rFonts w:ascii="Arial" w:eastAsia="Arial" w:hAnsi="Arial" w:cs="Arial"/>
          <w:sz w:val="20"/>
          <w:szCs w:val="20"/>
        </w:rPr>
      </w:pPr>
      <w:r w:rsidRPr="008F3466">
        <w:rPr>
          <w:rFonts w:ascii="Arial" w:eastAsia="Arial" w:hAnsi="Arial" w:cs="Arial"/>
          <w:sz w:val="20"/>
          <w:szCs w:val="20"/>
        </w:rPr>
        <w:t>Principales desafíos</w:t>
      </w:r>
      <w:r w:rsidR="00FE3834" w:rsidRPr="008F3466">
        <w:rPr>
          <w:rFonts w:ascii="Arial" w:eastAsia="Arial" w:hAnsi="Arial" w:cs="Arial"/>
          <w:sz w:val="20"/>
          <w:szCs w:val="20"/>
        </w:rPr>
        <w:t xml:space="preserve"> pendientes: </w:t>
      </w:r>
    </w:p>
    <w:p w14:paraId="1622E84F" w14:textId="77777777" w:rsidR="00BD3AB1" w:rsidRPr="008F3466" w:rsidRDefault="00BD3AB1" w:rsidP="00744FB6">
      <w:pPr>
        <w:numPr>
          <w:ilvl w:val="0"/>
          <w:numId w:val="1"/>
        </w:numPr>
        <w:spacing w:line="276" w:lineRule="auto"/>
        <w:jc w:val="both"/>
        <w:rPr>
          <w:rFonts w:ascii="Arial" w:eastAsia="Arial" w:hAnsi="Arial" w:cs="Arial"/>
          <w:sz w:val="20"/>
          <w:szCs w:val="20"/>
        </w:rPr>
      </w:pPr>
      <w:r w:rsidRPr="008F3466">
        <w:rPr>
          <w:rFonts w:ascii="Arial" w:eastAsia="Arial" w:hAnsi="Arial" w:cs="Arial"/>
          <w:sz w:val="20"/>
          <w:szCs w:val="20"/>
        </w:rPr>
        <w:t xml:space="preserve">Fortalecer la persecución del crimen organizado y sus redes de financiamiento. </w:t>
      </w:r>
    </w:p>
    <w:p w14:paraId="60CC9355" w14:textId="434FCC7B" w:rsidR="00F75C77" w:rsidRPr="008F3466" w:rsidRDefault="00F75C77" w:rsidP="00744FB6">
      <w:pPr>
        <w:numPr>
          <w:ilvl w:val="0"/>
          <w:numId w:val="1"/>
        </w:numPr>
        <w:spacing w:line="276" w:lineRule="auto"/>
        <w:jc w:val="both"/>
        <w:rPr>
          <w:rFonts w:ascii="Arial" w:eastAsia="Arial" w:hAnsi="Arial" w:cs="Arial"/>
          <w:sz w:val="20"/>
          <w:szCs w:val="20"/>
        </w:rPr>
      </w:pPr>
      <w:r w:rsidRPr="008F3466">
        <w:rPr>
          <w:rFonts w:ascii="Arial" w:eastAsia="Arial" w:hAnsi="Arial" w:cs="Arial"/>
          <w:sz w:val="20"/>
          <w:szCs w:val="20"/>
        </w:rPr>
        <w:t>Reducción de la percepción de inseguridad, aún elevada (76,9% cree que la delincuencia aumentó, según encuesta regional)</w:t>
      </w:r>
    </w:p>
    <w:p w14:paraId="5436CEBA" w14:textId="77777777" w:rsidR="00BD3AB1" w:rsidRPr="008F3466" w:rsidRDefault="00BD3AB1" w:rsidP="00744FB6">
      <w:pPr>
        <w:numPr>
          <w:ilvl w:val="0"/>
          <w:numId w:val="1"/>
        </w:numPr>
        <w:spacing w:line="276" w:lineRule="auto"/>
        <w:jc w:val="both"/>
        <w:rPr>
          <w:rFonts w:ascii="Arial" w:eastAsia="Arial" w:hAnsi="Arial" w:cs="Arial"/>
          <w:sz w:val="20"/>
          <w:szCs w:val="20"/>
        </w:rPr>
      </w:pPr>
      <w:r w:rsidRPr="008F3466">
        <w:rPr>
          <w:rFonts w:ascii="Arial" w:eastAsia="Arial" w:hAnsi="Arial" w:cs="Arial"/>
          <w:sz w:val="20"/>
          <w:szCs w:val="20"/>
        </w:rPr>
        <w:t xml:space="preserve">Reforzar la presencia policial y capacidades de vigilancia en sectores rurales. </w:t>
      </w:r>
    </w:p>
    <w:p w14:paraId="55A59FF8" w14:textId="77777777" w:rsidR="00BD3AB1" w:rsidRPr="008F3466" w:rsidRDefault="00BD3AB1" w:rsidP="00744FB6">
      <w:pPr>
        <w:numPr>
          <w:ilvl w:val="0"/>
          <w:numId w:val="1"/>
        </w:numPr>
        <w:spacing w:line="276" w:lineRule="auto"/>
        <w:jc w:val="both"/>
        <w:rPr>
          <w:rFonts w:ascii="Arial" w:eastAsia="Arial" w:hAnsi="Arial" w:cs="Arial"/>
          <w:sz w:val="20"/>
          <w:szCs w:val="20"/>
        </w:rPr>
      </w:pPr>
      <w:r w:rsidRPr="008F3466">
        <w:rPr>
          <w:rFonts w:ascii="Arial" w:eastAsia="Arial" w:hAnsi="Arial" w:cs="Arial"/>
          <w:sz w:val="20"/>
          <w:szCs w:val="20"/>
        </w:rPr>
        <w:t xml:space="preserve">Proteger infraestructura crítica y servicios básicos afectados por estos delitos. </w:t>
      </w:r>
    </w:p>
    <w:p w14:paraId="4DF6C43C" w14:textId="77777777" w:rsidR="00BD3AB1" w:rsidRPr="008F3466" w:rsidRDefault="00BD3AB1" w:rsidP="00744FB6">
      <w:pPr>
        <w:numPr>
          <w:ilvl w:val="0"/>
          <w:numId w:val="1"/>
        </w:numPr>
        <w:spacing w:line="276" w:lineRule="auto"/>
        <w:jc w:val="both"/>
        <w:rPr>
          <w:rFonts w:ascii="Arial" w:eastAsia="Arial" w:hAnsi="Arial" w:cs="Arial"/>
          <w:sz w:val="20"/>
          <w:szCs w:val="20"/>
        </w:rPr>
      </w:pPr>
      <w:r w:rsidRPr="008F3466">
        <w:rPr>
          <w:rFonts w:ascii="Arial" w:eastAsia="Arial" w:hAnsi="Arial" w:cs="Arial"/>
          <w:sz w:val="20"/>
          <w:szCs w:val="20"/>
        </w:rPr>
        <w:t>Fortalecer la coordinación interinstitucional y las capacidades regionales de inteligencia y control territorial.</w:t>
      </w:r>
    </w:p>
    <w:p w14:paraId="3FE5215A" w14:textId="77777777" w:rsidR="00BD3AB1" w:rsidRPr="008F3466" w:rsidRDefault="00BD3AB1" w:rsidP="00744FB6">
      <w:pPr>
        <w:spacing w:line="276" w:lineRule="auto"/>
        <w:ind w:left="720"/>
        <w:jc w:val="both"/>
        <w:rPr>
          <w:rFonts w:ascii="Arial" w:eastAsia="Arial" w:hAnsi="Arial" w:cs="Arial"/>
          <w:sz w:val="20"/>
          <w:szCs w:val="20"/>
        </w:rPr>
      </w:pPr>
    </w:p>
    <w:p w14:paraId="6E9BB78E" w14:textId="522E3514" w:rsidR="00826E4B" w:rsidRPr="0014215F" w:rsidRDefault="00BD3AB1" w:rsidP="00744FB6">
      <w:pPr>
        <w:pStyle w:val="Prrafodelista"/>
        <w:numPr>
          <w:ilvl w:val="1"/>
          <w:numId w:val="14"/>
        </w:numPr>
        <w:spacing w:line="276" w:lineRule="auto"/>
        <w:jc w:val="both"/>
        <w:rPr>
          <w:rFonts w:ascii="Arial" w:eastAsia="Arial" w:hAnsi="Arial" w:cs="Arial"/>
          <w:b/>
          <w:sz w:val="20"/>
          <w:szCs w:val="20"/>
        </w:rPr>
      </w:pPr>
      <w:r w:rsidRPr="0014215F">
        <w:rPr>
          <w:rFonts w:ascii="Arial" w:eastAsia="Arial" w:hAnsi="Arial" w:cs="Arial"/>
          <w:b/>
          <w:sz w:val="20"/>
          <w:szCs w:val="20"/>
        </w:rPr>
        <w:t>Crisis hídric</w:t>
      </w:r>
      <w:r w:rsidR="00826E4B" w:rsidRPr="0014215F">
        <w:rPr>
          <w:rFonts w:ascii="Arial" w:eastAsia="Arial" w:hAnsi="Arial" w:cs="Arial"/>
          <w:b/>
          <w:sz w:val="20"/>
          <w:szCs w:val="20"/>
        </w:rPr>
        <w:t>a</w:t>
      </w:r>
    </w:p>
    <w:p w14:paraId="548231E4" w14:textId="7CFEE160" w:rsidR="00924D64" w:rsidRPr="00924D64" w:rsidRDefault="00924D64" w:rsidP="00744FB6">
      <w:pPr>
        <w:pStyle w:val="Prrafodelista"/>
        <w:spacing w:line="276" w:lineRule="auto"/>
        <w:jc w:val="both"/>
        <w:rPr>
          <w:rFonts w:ascii="Arial" w:eastAsia="Arial" w:hAnsi="Arial" w:cs="Arial"/>
          <w:b/>
          <w:sz w:val="20"/>
          <w:szCs w:val="20"/>
        </w:rPr>
      </w:pPr>
    </w:p>
    <w:p w14:paraId="7D4A504C" w14:textId="4AD4336F" w:rsidR="00066BB1" w:rsidRPr="008F3466" w:rsidRDefault="00AE211D"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La crisis hídrica es el desafío más estructural y urgente de la Región de Coquimbo. El Programa de Gobierno 2026–2030 propone abordarla como una emergencia nacional, priorizando la seguridad hídrica para consumo humano, el apoyo a comunidades rurales y la diversificación de las fuentes de agua mediante desalación, recarga de acuíferos y eficiencia en el uso. Coquimbo es la región con más comunas bajo decreto de escasez hídrica en el país</w:t>
      </w:r>
      <w:r w:rsidR="00826E4B" w:rsidRPr="008F3466">
        <w:rPr>
          <w:rFonts w:ascii="Arial" w:eastAsia="Arial" w:hAnsi="Arial" w:cs="Arial"/>
          <w:sz w:val="20"/>
          <w:szCs w:val="20"/>
        </w:rPr>
        <w:t xml:space="preserve">. </w:t>
      </w:r>
      <w:r w:rsidR="00720FB3" w:rsidRPr="008F3466">
        <w:rPr>
          <w:rFonts w:ascii="Arial" w:eastAsia="Arial" w:hAnsi="Arial" w:cs="Arial"/>
          <w:sz w:val="20"/>
          <w:szCs w:val="20"/>
        </w:rPr>
        <w:t>El decreto de escasez hídrica en la Región de Coquimbo tiene vigencia continua desde hace más de una década</w:t>
      </w:r>
      <w:r w:rsidR="00826E4B" w:rsidRPr="008F3466">
        <w:rPr>
          <w:rFonts w:ascii="Arial" w:eastAsia="Arial" w:hAnsi="Arial" w:cs="Arial"/>
          <w:sz w:val="20"/>
          <w:szCs w:val="20"/>
        </w:rPr>
        <w:t>.</w:t>
      </w:r>
      <w:r w:rsidR="00CF64C7" w:rsidRPr="008F3466">
        <w:rPr>
          <w:rFonts w:ascii="Arial" w:eastAsia="Arial" w:hAnsi="Arial" w:cs="Arial"/>
          <w:sz w:val="20"/>
          <w:szCs w:val="20"/>
        </w:rPr>
        <w:t xml:space="preserve"> </w:t>
      </w:r>
      <w:r w:rsidR="001D2555" w:rsidRPr="008F3466">
        <w:rPr>
          <w:rFonts w:ascii="Arial" w:eastAsia="Arial" w:hAnsi="Arial" w:cs="Arial"/>
          <w:sz w:val="20"/>
          <w:szCs w:val="20"/>
        </w:rPr>
        <w:t>La capacidad promedio de almacenamiento en la región descendió de manera sostenida, alcanzando apenas el 11% de acumulación global.</w:t>
      </w:r>
      <w:r w:rsidR="00066BB1" w:rsidRPr="008F3466">
        <w:rPr>
          <w:rFonts w:ascii="Arial" w:eastAsia="Arial" w:hAnsi="Arial" w:cs="Arial"/>
          <w:sz w:val="20"/>
          <w:szCs w:val="20"/>
        </w:rPr>
        <w:t xml:space="preserve"> Los caudales de los principales ríos se mantienen en mínimos históricos. El río Elqui corre a apenas un 23% de su promedio histórico, mientras que el río Limarí alcanza un 39% y el Choapa un 37%.</w:t>
      </w:r>
      <w:r w:rsidR="00541BAE" w:rsidRPr="008F3466">
        <w:rPr>
          <w:rFonts w:ascii="Arial" w:eastAsia="Arial" w:hAnsi="Arial" w:cs="Arial"/>
          <w:sz w:val="20"/>
          <w:szCs w:val="20"/>
        </w:rPr>
        <w:t xml:space="preserve"> Hasta 80% de déficit de precipitaciones en algunas áreas en los últimos años. </w:t>
      </w:r>
      <w:proofErr w:type="spellStart"/>
      <w:r w:rsidR="00541BAE" w:rsidRPr="008F3466">
        <w:rPr>
          <w:rFonts w:ascii="Arial" w:eastAsia="Arial" w:hAnsi="Arial" w:cs="Arial"/>
          <w:sz w:val="20"/>
          <w:szCs w:val="20"/>
        </w:rPr>
        <w:t>Megasequía</w:t>
      </w:r>
      <w:proofErr w:type="spellEnd"/>
      <w:r w:rsidR="00541BAE" w:rsidRPr="008F3466">
        <w:rPr>
          <w:rFonts w:ascii="Arial" w:eastAsia="Arial" w:hAnsi="Arial" w:cs="Arial"/>
          <w:sz w:val="20"/>
          <w:szCs w:val="20"/>
        </w:rPr>
        <w:t xml:space="preserve"> sostenida por más de una década. </w:t>
      </w:r>
      <w:r w:rsidR="002B6931" w:rsidRPr="008F3466">
        <w:rPr>
          <w:rFonts w:ascii="Arial" w:eastAsia="Arial" w:hAnsi="Arial" w:cs="Arial"/>
          <w:sz w:val="20"/>
          <w:szCs w:val="20"/>
        </w:rPr>
        <w:t>Sistemas rurales de agua potable (APR/SCR) con alta vulnerabilidad; dependencia de camiones aljibe por sobre $5.000 millones anuales en la DPR.</w:t>
      </w:r>
    </w:p>
    <w:p w14:paraId="4E9C1B19" w14:textId="77777777" w:rsidR="002B6931" w:rsidRPr="008F3466" w:rsidRDefault="002B6931" w:rsidP="00744FB6">
      <w:pPr>
        <w:spacing w:line="276" w:lineRule="auto"/>
        <w:jc w:val="both"/>
        <w:rPr>
          <w:rFonts w:ascii="Arial" w:eastAsia="Arial" w:hAnsi="Arial" w:cs="Arial"/>
          <w:sz w:val="20"/>
          <w:szCs w:val="20"/>
        </w:rPr>
      </w:pPr>
    </w:p>
    <w:p w14:paraId="5B0BBB30" w14:textId="77777777" w:rsidR="00FE3834" w:rsidRPr="008F3466" w:rsidRDefault="00FE3834" w:rsidP="00744FB6">
      <w:pPr>
        <w:spacing w:line="276" w:lineRule="auto"/>
        <w:jc w:val="both"/>
        <w:rPr>
          <w:rFonts w:ascii="Arial" w:eastAsia="Arial" w:hAnsi="Arial" w:cs="Arial"/>
          <w:sz w:val="20"/>
          <w:szCs w:val="20"/>
        </w:rPr>
      </w:pPr>
      <w:r w:rsidRPr="008F3466">
        <w:rPr>
          <w:rFonts w:ascii="Arial" w:eastAsia="Arial" w:hAnsi="Arial" w:cs="Arial"/>
          <w:sz w:val="20"/>
          <w:szCs w:val="20"/>
        </w:rPr>
        <w:t>Principales desafíos pendientes</w:t>
      </w:r>
    </w:p>
    <w:p w14:paraId="4520A377" w14:textId="639D16DE" w:rsidR="00FE3834" w:rsidRPr="008F3466" w:rsidRDefault="00FE3834" w:rsidP="00744FB6">
      <w:pPr>
        <w:pStyle w:val="Prrafodelista"/>
        <w:numPr>
          <w:ilvl w:val="0"/>
          <w:numId w:val="2"/>
        </w:numPr>
        <w:spacing w:line="276" w:lineRule="auto"/>
        <w:jc w:val="both"/>
        <w:rPr>
          <w:rFonts w:ascii="Arial" w:eastAsia="Arial" w:hAnsi="Arial" w:cs="Arial"/>
          <w:sz w:val="20"/>
          <w:szCs w:val="20"/>
        </w:rPr>
      </w:pPr>
      <w:r w:rsidRPr="008F3466">
        <w:rPr>
          <w:rFonts w:ascii="Arial" w:eastAsia="Arial" w:hAnsi="Arial" w:cs="Arial"/>
          <w:sz w:val="20"/>
          <w:szCs w:val="20"/>
        </w:rPr>
        <w:lastRenderedPageBreak/>
        <w:t>Asegurar el abastecimiento de agua para consumo humano, especialmente en sectores rurales que continúan dependiendo de camiones aljibe y sistemas de emergencia.</w:t>
      </w:r>
    </w:p>
    <w:p w14:paraId="31A8EF1E" w14:textId="77777777" w:rsidR="00FE3834" w:rsidRPr="008F3466" w:rsidRDefault="00FE3834" w:rsidP="00744FB6">
      <w:pPr>
        <w:pStyle w:val="Prrafodelista"/>
        <w:numPr>
          <w:ilvl w:val="0"/>
          <w:numId w:val="2"/>
        </w:numPr>
        <w:spacing w:line="276" w:lineRule="auto"/>
        <w:jc w:val="both"/>
        <w:rPr>
          <w:rFonts w:ascii="Arial" w:eastAsia="Arial" w:hAnsi="Arial" w:cs="Arial"/>
          <w:sz w:val="20"/>
          <w:szCs w:val="20"/>
        </w:rPr>
      </w:pPr>
      <w:r w:rsidRPr="008F3466">
        <w:rPr>
          <w:rFonts w:ascii="Arial" w:eastAsia="Arial" w:hAnsi="Arial" w:cs="Arial"/>
          <w:sz w:val="20"/>
          <w:szCs w:val="20"/>
        </w:rPr>
        <w:t>Avanzar en infraestructura hídrica estructural, incluyendo desalación, ampliación de embalses, sistemas de acumulación, conducción y reúso de aguas.</w:t>
      </w:r>
    </w:p>
    <w:p w14:paraId="7FB01A63" w14:textId="228DB6C2" w:rsidR="00FE3834" w:rsidRPr="008F3466" w:rsidRDefault="00FE3834" w:rsidP="00744FB6">
      <w:pPr>
        <w:pStyle w:val="Prrafodelista"/>
        <w:numPr>
          <w:ilvl w:val="0"/>
          <w:numId w:val="2"/>
        </w:numPr>
        <w:spacing w:line="276" w:lineRule="auto"/>
        <w:jc w:val="both"/>
        <w:rPr>
          <w:rFonts w:ascii="Arial" w:eastAsia="Arial" w:hAnsi="Arial" w:cs="Arial"/>
          <w:sz w:val="20"/>
          <w:szCs w:val="20"/>
        </w:rPr>
      </w:pPr>
      <w:r w:rsidRPr="008F3466">
        <w:rPr>
          <w:rFonts w:ascii="Arial" w:eastAsia="Arial" w:hAnsi="Arial" w:cs="Arial"/>
          <w:sz w:val="20"/>
          <w:szCs w:val="20"/>
        </w:rPr>
        <w:t>Mejorar la eficiencia en el uso del recurso hídrico, fortaleciendo tecnificación de riego, conducción y reducción de pérdidas en sistemas sanitarios y agrícolas.</w:t>
      </w:r>
    </w:p>
    <w:p w14:paraId="21F13CEE" w14:textId="77777777" w:rsidR="00FE3834" w:rsidRPr="008F3466" w:rsidRDefault="00FE3834" w:rsidP="00744FB6">
      <w:pPr>
        <w:pStyle w:val="Prrafodelista"/>
        <w:numPr>
          <w:ilvl w:val="0"/>
          <w:numId w:val="2"/>
        </w:numPr>
        <w:spacing w:line="276" w:lineRule="auto"/>
        <w:jc w:val="both"/>
        <w:rPr>
          <w:rFonts w:ascii="Arial" w:eastAsia="Arial" w:hAnsi="Arial" w:cs="Arial"/>
          <w:sz w:val="20"/>
          <w:szCs w:val="20"/>
        </w:rPr>
      </w:pPr>
      <w:r w:rsidRPr="008F3466">
        <w:rPr>
          <w:rFonts w:ascii="Arial" w:eastAsia="Arial" w:hAnsi="Arial" w:cs="Arial"/>
          <w:sz w:val="20"/>
          <w:szCs w:val="20"/>
        </w:rPr>
        <w:t>Fortalecer la seguridad hídrica para actividades productivas estratégicas como agricultura, minería, turismo y consumo urbano, considerando el impacto sostenido de la sequía.</w:t>
      </w:r>
    </w:p>
    <w:p w14:paraId="77BC3EFD" w14:textId="7670795E" w:rsidR="00FE3834" w:rsidRPr="008F3466" w:rsidRDefault="00FE3834" w:rsidP="00744FB6">
      <w:pPr>
        <w:pStyle w:val="Prrafodelista"/>
        <w:numPr>
          <w:ilvl w:val="0"/>
          <w:numId w:val="3"/>
        </w:numPr>
        <w:spacing w:line="276" w:lineRule="auto"/>
        <w:jc w:val="both"/>
        <w:rPr>
          <w:rFonts w:ascii="Arial" w:eastAsia="Arial" w:hAnsi="Arial" w:cs="Arial"/>
          <w:sz w:val="20"/>
          <w:szCs w:val="20"/>
        </w:rPr>
      </w:pPr>
      <w:r w:rsidRPr="008F3466">
        <w:rPr>
          <w:rFonts w:ascii="Arial" w:eastAsia="Arial" w:hAnsi="Arial" w:cs="Arial"/>
          <w:sz w:val="20"/>
          <w:szCs w:val="20"/>
        </w:rPr>
        <w:t>Fortalecer la coordinación interinstitucional y la planificación territorial frente al escenario de escasez hídrica prolongada y cambio climático.</w:t>
      </w:r>
    </w:p>
    <w:p w14:paraId="331A5D5E" w14:textId="16AD693D" w:rsidR="006C72B8" w:rsidRPr="008F3466" w:rsidRDefault="006C72B8" w:rsidP="00744FB6">
      <w:pPr>
        <w:spacing w:line="276" w:lineRule="auto"/>
        <w:jc w:val="both"/>
        <w:rPr>
          <w:rFonts w:ascii="Arial" w:eastAsia="Arial" w:hAnsi="Arial" w:cs="Arial"/>
          <w:sz w:val="20"/>
          <w:szCs w:val="20"/>
        </w:rPr>
      </w:pPr>
    </w:p>
    <w:p w14:paraId="5EDE0607" w14:textId="2753D4B1" w:rsidR="006C72B8" w:rsidRPr="0014215F" w:rsidRDefault="006C72B8" w:rsidP="00744FB6">
      <w:pPr>
        <w:pStyle w:val="Prrafodelista"/>
        <w:numPr>
          <w:ilvl w:val="1"/>
          <w:numId w:val="14"/>
        </w:numPr>
        <w:spacing w:line="276" w:lineRule="auto"/>
        <w:jc w:val="both"/>
        <w:rPr>
          <w:rFonts w:ascii="Arial" w:eastAsia="Arial" w:hAnsi="Arial" w:cs="Arial"/>
          <w:b/>
          <w:sz w:val="20"/>
          <w:szCs w:val="20"/>
        </w:rPr>
      </w:pPr>
      <w:r w:rsidRPr="0014215F">
        <w:rPr>
          <w:rFonts w:ascii="Arial" w:eastAsia="Arial" w:hAnsi="Arial" w:cs="Arial"/>
          <w:b/>
          <w:sz w:val="20"/>
          <w:szCs w:val="20"/>
        </w:rPr>
        <w:t>Recuperación económica</w:t>
      </w:r>
    </w:p>
    <w:p w14:paraId="12135B2F" w14:textId="72D3D8AD" w:rsidR="000037B0" w:rsidRPr="008F3466" w:rsidRDefault="00500E9C"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La Región de Coquimbo posee una economía diversificada con potencial de crecimiento, pero enfrenta restricciones estructurales. El Programa de Gobierno 2026–2030 plantea eliminar trabas a la inversión, reducir la carga regulatoria, y fortalecer los sectores productivos estratégicos. En Coquimbo, los motores de la economía son la minería (aproximadamente 28% del PIB regional), la agricultura, la pesca y el turismo/astroturismo; todos ellos afectados por la crisis hídrica, la incertidumbre regulatoria y la baja productividad</w:t>
      </w:r>
      <w:r w:rsidR="000037B0" w:rsidRPr="008F3466">
        <w:rPr>
          <w:rFonts w:ascii="Arial" w:eastAsia="Arial" w:hAnsi="Arial" w:cs="Arial"/>
          <w:sz w:val="20"/>
          <w:szCs w:val="20"/>
        </w:rPr>
        <w:t>.</w:t>
      </w:r>
    </w:p>
    <w:p w14:paraId="4E8D4402" w14:textId="21FBB1A6" w:rsidR="000037B0" w:rsidRPr="008F3466" w:rsidRDefault="000037B0"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En materia laboral, la región registró una tasa de desocupación de </w:t>
      </w:r>
      <w:r w:rsidR="00AD528F" w:rsidRPr="008F3466">
        <w:rPr>
          <w:rFonts w:ascii="Arial" w:eastAsia="Arial" w:hAnsi="Arial" w:cs="Arial"/>
          <w:sz w:val="20"/>
          <w:szCs w:val="20"/>
        </w:rPr>
        <w:t>8,1% en el trimestre enero - marzo 2026</w:t>
      </w:r>
      <w:r w:rsidRPr="008F3466">
        <w:rPr>
          <w:rFonts w:ascii="Arial" w:eastAsia="Arial" w:hAnsi="Arial" w:cs="Arial"/>
          <w:sz w:val="20"/>
          <w:szCs w:val="20"/>
        </w:rPr>
        <w:t>, reflejando la necesidad de fortalecer la generación de empleo formal y reactivar la inversión pública y privada.</w:t>
      </w:r>
    </w:p>
    <w:p w14:paraId="42F71B36" w14:textId="577E66D1" w:rsidR="00A07EB4" w:rsidRPr="008F3466" w:rsidRDefault="00AD528F"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L</w:t>
      </w:r>
      <w:r w:rsidR="00A07EB4" w:rsidRPr="008F3466">
        <w:rPr>
          <w:rFonts w:ascii="Arial" w:eastAsia="Arial" w:hAnsi="Arial" w:cs="Arial"/>
          <w:sz w:val="20"/>
          <w:szCs w:val="20"/>
        </w:rPr>
        <w:t>a región presenta desafíos relevantes asociados a la ejecución de proyectos de inversión, infraestructura pública e iniciativas estratégicas vinculadas a seguridad hídrica, conectividad, minería, energía y desarrollo productivo. Entre ellos destacan la continuidad de las obras hospitalarias de La Serena y Coquimbo, el impulso a la Planta Desaladora para la Región de Coquimbo y el fortalecimiento de proyectos energéticos y mineros en evaluación ambiental.</w:t>
      </w:r>
    </w:p>
    <w:p w14:paraId="1CDBC926" w14:textId="77777777" w:rsidR="00A07EB4" w:rsidRPr="008F3466" w:rsidRDefault="00A07EB4"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Asimismo, la actividad turística continúa siendo un eje relevante para la recuperación regional. Durante Semana Santa 2026, destinos como Valle de Elqui alcanzaron niveles de reservas cercanos al 83%, evidenciando el potencial del sector para dinamizar economías locales y generar empleo.</w:t>
      </w:r>
    </w:p>
    <w:p w14:paraId="4BEDF9C5" w14:textId="77777777" w:rsidR="00EC6406" w:rsidRPr="008F3466" w:rsidRDefault="00EC6406" w:rsidP="00744FB6">
      <w:pPr>
        <w:spacing w:line="276" w:lineRule="auto"/>
        <w:jc w:val="both"/>
        <w:rPr>
          <w:rFonts w:ascii="Arial" w:eastAsia="Arial" w:hAnsi="Arial" w:cs="Arial"/>
          <w:sz w:val="20"/>
          <w:szCs w:val="20"/>
        </w:rPr>
      </w:pPr>
    </w:p>
    <w:p w14:paraId="36C08B2D" w14:textId="5F9B0FFB" w:rsidR="00A07EB4" w:rsidRPr="008F3466" w:rsidRDefault="00A07EB4" w:rsidP="00744FB6">
      <w:pPr>
        <w:spacing w:line="276" w:lineRule="auto"/>
        <w:jc w:val="both"/>
        <w:rPr>
          <w:rFonts w:ascii="Arial" w:eastAsia="Arial" w:hAnsi="Arial" w:cs="Arial"/>
          <w:sz w:val="20"/>
          <w:szCs w:val="20"/>
        </w:rPr>
      </w:pPr>
      <w:r w:rsidRPr="008F3466">
        <w:rPr>
          <w:rFonts w:ascii="Arial" w:eastAsia="Arial" w:hAnsi="Arial" w:cs="Arial"/>
          <w:sz w:val="20"/>
          <w:szCs w:val="20"/>
        </w:rPr>
        <w:t>Principales desafíos</w:t>
      </w:r>
      <w:r w:rsidR="00EC6406" w:rsidRPr="008F3466">
        <w:rPr>
          <w:rFonts w:ascii="Arial" w:eastAsia="Arial" w:hAnsi="Arial" w:cs="Arial"/>
          <w:sz w:val="20"/>
          <w:szCs w:val="20"/>
        </w:rPr>
        <w:t xml:space="preserve"> pendientes</w:t>
      </w:r>
    </w:p>
    <w:p w14:paraId="22A7C591" w14:textId="045666D8" w:rsidR="00EC6406" w:rsidRPr="008F3466" w:rsidRDefault="00EC6406" w:rsidP="00744FB6">
      <w:pPr>
        <w:numPr>
          <w:ilvl w:val="0"/>
          <w:numId w:val="4"/>
        </w:numPr>
        <w:spacing w:line="276" w:lineRule="auto"/>
        <w:jc w:val="both"/>
        <w:rPr>
          <w:rFonts w:ascii="Arial" w:eastAsia="Arial" w:hAnsi="Arial" w:cs="Arial"/>
          <w:sz w:val="20"/>
          <w:szCs w:val="20"/>
        </w:rPr>
      </w:pPr>
      <w:r w:rsidRPr="008F3466">
        <w:rPr>
          <w:rFonts w:ascii="Arial" w:eastAsia="Arial" w:hAnsi="Arial" w:cs="Arial"/>
          <w:sz w:val="20"/>
          <w:szCs w:val="20"/>
        </w:rPr>
        <w:t>Consolidar la gran minería como motor de bienestar y encadenamiento productivo local</w:t>
      </w:r>
    </w:p>
    <w:p w14:paraId="0AD06811" w14:textId="77777777" w:rsidR="00EC6406" w:rsidRPr="008F3466" w:rsidRDefault="00EC6406" w:rsidP="00744FB6">
      <w:pPr>
        <w:numPr>
          <w:ilvl w:val="0"/>
          <w:numId w:val="4"/>
        </w:numPr>
        <w:spacing w:line="276" w:lineRule="auto"/>
        <w:jc w:val="both"/>
        <w:rPr>
          <w:rFonts w:ascii="Arial" w:eastAsia="Arial" w:hAnsi="Arial" w:cs="Arial"/>
          <w:sz w:val="20"/>
          <w:szCs w:val="20"/>
        </w:rPr>
      </w:pPr>
      <w:r w:rsidRPr="008F3466">
        <w:rPr>
          <w:rFonts w:ascii="Arial" w:eastAsia="Arial" w:hAnsi="Arial" w:cs="Arial"/>
          <w:sz w:val="20"/>
          <w:szCs w:val="20"/>
        </w:rPr>
        <w:t xml:space="preserve">Destrabar proyectos de inversión frenados por tramitación ambiental y </w:t>
      </w:r>
      <w:proofErr w:type="spellStart"/>
      <w:r w:rsidRPr="008F3466">
        <w:rPr>
          <w:rFonts w:ascii="Arial" w:eastAsia="Arial" w:hAnsi="Arial" w:cs="Arial"/>
          <w:sz w:val="20"/>
          <w:szCs w:val="20"/>
        </w:rPr>
        <w:t>permisología</w:t>
      </w:r>
      <w:proofErr w:type="spellEnd"/>
    </w:p>
    <w:p w14:paraId="7AF661FB" w14:textId="77777777" w:rsidR="00EC6406" w:rsidRPr="008F3466" w:rsidRDefault="00EC6406" w:rsidP="00744FB6">
      <w:pPr>
        <w:numPr>
          <w:ilvl w:val="0"/>
          <w:numId w:val="4"/>
        </w:numPr>
        <w:spacing w:line="276" w:lineRule="auto"/>
        <w:jc w:val="both"/>
        <w:rPr>
          <w:rFonts w:ascii="Arial" w:eastAsia="Arial" w:hAnsi="Arial" w:cs="Arial"/>
          <w:sz w:val="20"/>
          <w:szCs w:val="20"/>
        </w:rPr>
      </w:pPr>
      <w:r w:rsidRPr="008F3466">
        <w:rPr>
          <w:rFonts w:ascii="Arial" w:eastAsia="Arial" w:hAnsi="Arial" w:cs="Arial"/>
          <w:sz w:val="20"/>
          <w:szCs w:val="20"/>
        </w:rPr>
        <w:t>Reactivar el agro con soluciones hídricas de corto plazo</w:t>
      </w:r>
    </w:p>
    <w:p w14:paraId="29C1C60B" w14:textId="77777777" w:rsidR="00EC6406" w:rsidRPr="008F3466" w:rsidRDefault="00EC6406" w:rsidP="00744FB6">
      <w:pPr>
        <w:numPr>
          <w:ilvl w:val="0"/>
          <w:numId w:val="4"/>
        </w:numPr>
        <w:spacing w:line="276" w:lineRule="auto"/>
        <w:jc w:val="both"/>
        <w:rPr>
          <w:rFonts w:ascii="Arial" w:eastAsia="Arial" w:hAnsi="Arial" w:cs="Arial"/>
          <w:sz w:val="20"/>
          <w:szCs w:val="20"/>
        </w:rPr>
      </w:pPr>
      <w:r w:rsidRPr="008F3466">
        <w:rPr>
          <w:rFonts w:ascii="Arial" w:eastAsia="Arial" w:hAnsi="Arial" w:cs="Arial"/>
          <w:sz w:val="20"/>
          <w:szCs w:val="20"/>
        </w:rPr>
        <w:t>Diversificar la economía mediante turismo, pesca y acuicultura</w:t>
      </w:r>
    </w:p>
    <w:p w14:paraId="6E9F83F5" w14:textId="71A567F5" w:rsidR="00A611C6" w:rsidRPr="008F3466" w:rsidRDefault="00EC6406" w:rsidP="00744FB6">
      <w:pPr>
        <w:numPr>
          <w:ilvl w:val="0"/>
          <w:numId w:val="4"/>
        </w:numPr>
        <w:spacing w:line="276" w:lineRule="auto"/>
        <w:jc w:val="both"/>
        <w:rPr>
          <w:rFonts w:ascii="Arial" w:eastAsia="Arial" w:hAnsi="Arial" w:cs="Arial"/>
          <w:sz w:val="20"/>
          <w:szCs w:val="20"/>
        </w:rPr>
      </w:pPr>
      <w:r w:rsidRPr="008F3466">
        <w:rPr>
          <w:rFonts w:ascii="Arial" w:eastAsia="Arial" w:hAnsi="Arial" w:cs="Arial"/>
          <w:sz w:val="20"/>
          <w:szCs w:val="20"/>
        </w:rPr>
        <w:t>Fortalecer el tejido de pymes con instrumentos de CORFO y SERCOTEC.</w:t>
      </w:r>
    </w:p>
    <w:p w14:paraId="59B5A68A" w14:textId="77777777" w:rsidR="00EC6406" w:rsidRPr="008F3466" w:rsidRDefault="00EC6406" w:rsidP="00744FB6">
      <w:pPr>
        <w:spacing w:line="276" w:lineRule="auto"/>
        <w:jc w:val="both"/>
        <w:rPr>
          <w:rFonts w:ascii="Arial" w:eastAsia="Arial" w:hAnsi="Arial" w:cs="Arial"/>
          <w:sz w:val="20"/>
          <w:szCs w:val="20"/>
        </w:rPr>
      </w:pPr>
    </w:p>
    <w:p w14:paraId="550D8956" w14:textId="77777777" w:rsidR="00EC6406" w:rsidRPr="008F3466" w:rsidRDefault="00EC6406" w:rsidP="00744FB6">
      <w:pPr>
        <w:spacing w:line="276" w:lineRule="auto"/>
        <w:jc w:val="both"/>
        <w:rPr>
          <w:rFonts w:ascii="Arial" w:eastAsia="Arial" w:hAnsi="Arial" w:cs="Arial"/>
          <w:sz w:val="20"/>
          <w:szCs w:val="20"/>
        </w:rPr>
      </w:pPr>
    </w:p>
    <w:p w14:paraId="4311E7BB" w14:textId="77777777" w:rsidR="00EC6406" w:rsidRDefault="00EC6406" w:rsidP="00744FB6">
      <w:pPr>
        <w:spacing w:line="276" w:lineRule="auto"/>
        <w:jc w:val="both"/>
        <w:rPr>
          <w:rFonts w:ascii="Arial" w:eastAsia="Arial" w:hAnsi="Arial" w:cs="Arial"/>
          <w:sz w:val="20"/>
          <w:szCs w:val="20"/>
        </w:rPr>
      </w:pPr>
    </w:p>
    <w:p w14:paraId="03360088" w14:textId="77777777" w:rsidR="00C84F82" w:rsidRDefault="00C84F82" w:rsidP="00744FB6">
      <w:pPr>
        <w:spacing w:line="276" w:lineRule="auto"/>
        <w:jc w:val="both"/>
        <w:rPr>
          <w:rFonts w:ascii="Arial" w:eastAsia="Arial" w:hAnsi="Arial" w:cs="Arial"/>
          <w:sz w:val="20"/>
          <w:szCs w:val="20"/>
        </w:rPr>
      </w:pPr>
    </w:p>
    <w:p w14:paraId="42EA1B43" w14:textId="77777777" w:rsidR="00C84F82" w:rsidRDefault="00C84F82" w:rsidP="00744FB6">
      <w:pPr>
        <w:spacing w:line="276" w:lineRule="auto"/>
        <w:jc w:val="both"/>
        <w:rPr>
          <w:rFonts w:ascii="Arial" w:eastAsia="Arial" w:hAnsi="Arial" w:cs="Arial"/>
          <w:sz w:val="20"/>
          <w:szCs w:val="20"/>
        </w:rPr>
      </w:pPr>
    </w:p>
    <w:p w14:paraId="5F846027" w14:textId="77777777" w:rsidR="00C84F82" w:rsidRDefault="00C84F82" w:rsidP="00744FB6">
      <w:pPr>
        <w:spacing w:line="276" w:lineRule="auto"/>
        <w:jc w:val="both"/>
        <w:rPr>
          <w:rFonts w:ascii="Arial" w:eastAsia="Arial" w:hAnsi="Arial" w:cs="Arial"/>
          <w:sz w:val="20"/>
          <w:szCs w:val="20"/>
        </w:rPr>
      </w:pPr>
    </w:p>
    <w:p w14:paraId="15297954" w14:textId="77777777" w:rsidR="00C84F82" w:rsidRDefault="00C84F82" w:rsidP="00744FB6">
      <w:pPr>
        <w:spacing w:line="276" w:lineRule="auto"/>
        <w:jc w:val="both"/>
        <w:rPr>
          <w:rFonts w:ascii="Arial" w:eastAsia="Arial" w:hAnsi="Arial" w:cs="Arial"/>
          <w:sz w:val="20"/>
          <w:szCs w:val="20"/>
        </w:rPr>
      </w:pPr>
    </w:p>
    <w:p w14:paraId="310A6327" w14:textId="77777777" w:rsidR="005D4FAF" w:rsidRDefault="005D4FAF" w:rsidP="005D4FAF">
      <w:pPr>
        <w:spacing w:line="276" w:lineRule="auto"/>
        <w:jc w:val="both"/>
        <w:rPr>
          <w:rFonts w:ascii="Arial" w:eastAsia="Arial" w:hAnsi="Arial" w:cs="Arial"/>
          <w:b/>
          <w:sz w:val="20"/>
          <w:szCs w:val="20"/>
        </w:rPr>
      </w:pPr>
    </w:p>
    <w:p w14:paraId="391FD2B2" w14:textId="77777777" w:rsidR="007A3B12" w:rsidRDefault="007A3B12" w:rsidP="005D4FAF">
      <w:pPr>
        <w:spacing w:line="276" w:lineRule="auto"/>
        <w:jc w:val="both"/>
        <w:rPr>
          <w:rFonts w:ascii="Arial" w:eastAsia="Arial" w:hAnsi="Arial" w:cs="Arial"/>
          <w:b/>
          <w:sz w:val="20"/>
          <w:szCs w:val="20"/>
        </w:rPr>
      </w:pPr>
    </w:p>
    <w:p w14:paraId="5AD90861" w14:textId="77777777" w:rsidR="007A3B12" w:rsidRDefault="007A3B12" w:rsidP="005D4FAF">
      <w:pPr>
        <w:spacing w:line="276" w:lineRule="auto"/>
        <w:jc w:val="both"/>
        <w:rPr>
          <w:rFonts w:ascii="Arial" w:eastAsia="Arial" w:hAnsi="Arial" w:cs="Arial"/>
          <w:b/>
          <w:sz w:val="20"/>
          <w:szCs w:val="20"/>
        </w:rPr>
      </w:pPr>
    </w:p>
    <w:p w14:paraId="10AFDA24" w14:textId="77777777" w:rsidR="007A3B12" w:rsidRDefault="007A3B12" w:rsidP="005D4FAF">
      <w:pPr>
        <w:spacing w:line="276" w:lineRule="auto"/>
        <w:jc w:val="both"/>
        <w:rPr>
          <w:rFonts w:ascii="Arial" w:eastAsia="Arial" w:hAnsi="Arial" w:cs="Arial"/>
          <w:b/>
          <w:sz w:val="20"/>
          <w:szCs w:val="20"/>
        </w:rPr>
      </w:pPr>
    </w:p>
    <w:p w14:paraId="3603A758" w14:textId="77777777" w:rsidR="007A3B12" w:rsidRDefault="007A3B12" w:rsidP="005D4FAF">
      <w:pPr>
        <w:spacing w:line="276" w:lineRule="auto"/>
        <w:jc w:val="both"/>
        <w:rPr>
          <w:rFonts w:ascii="Arial" w:eastAsia="Arial" w:hAnsi="Arial" w:cs="Arial"/>
          <w:b/>
          <w:sz w:val="20"/>
          <w:szCs w:val="20"/>
        </w:rPr>
      </w:pPr>
    </w:p>
    <w:p w14:paraId="01EFDF9B" w14:textId="77777777" w:rsidR="007A3B12" w:rsidRDefault="007A3B12" w:rsidP="005D4FAF">
      <w:pPr>
        <w:spacing w:line="276" w:lineRule="auto"/>
        <w:jc w:val="both"/>
        <w:rPr>
          <w:rFonts w:ascii="Arial" w:eastAsia="Arial" w:hAnsi="Arial" w:cs="Arial"/>
          <w:b/>
          <w:sz w:val="20"/>
          <w:szCs w:val="20"/>
        </w:rPr>
      </w:pPr>
    </w:p>
    <w:p w14:paraId="0C21D1C5" w14:textId="620069AB" w:rsidR="00073270" w:rsidRPr="005D4FAF" w:rsidRDefault="008A3FE7" w:rsidP="005D4FAF">
      <w:pPr>
        <w:pStyle w:val="Prrafodelista"/>
        <w:numPr>
          <w:ilvl w:val="0"/>
          <w:numId w:val="13"/>
        </w:numPr>
        <w:spacing w:line="276" w:lineRule="auto"/>
        <w:jc w:val="both"/>
        <w:rPr>
          <w:rFonts w:ascii="Arial" w:eastAsia="Arial" w:hAnsi="Arial" w:cs="Arial"/>
          <w:b/>
          <w:sz w:val="20"/>
          <w:szCs w:val="20"/>
        </w:rPr>
      </w:pPr>
      <w:r w:rsidRPr="005D4FAF">
        <w:rPr>
          <w:rFonts w:ascii="Arial" w:eastAsia="Arial" w:hAnsi="Arial" w:cs="Arial"/>
          <w:b/>
          <w:sz w:val="20"/>
          <w:szCs w:val="20"/>
        </w:rPr>
        <w:lastRenderedPageBreak/>
        <w:t>Principales avances del período junio de 2025-junio de 2026</w:t>
      </w:r>
    </w:p>
    <w:p w14:paraId="199723C8" w14:textId="77777777" w:rsidR="008A3FE7" w:rsidRPr="008F3466" w:rsidRDefault="008A3FE7" w:rsidP="00744FB6">
      <w:pPr>
        <w:pStyle w:val="Prrafodelista"/>
        <w:spacing w:line="276" w:lineRule="auto"/>
        <w:ind w:left="1080"/>
        <w:jc w:val="both"/>
        <w:rPr>
          <w:rFonts w:ascii="Arial" w:eastAsia="Arial" w:hAnsi="Arial" w:cs="Arial"/>
          <w:bCs/>
          <w:sz w:val="20"/>
          <w:szCs w:val="20"/>
        </w:rPr>
      </w:pPr>
    </w:p>
    <w:p w14:paraId="765EA2A0" w14:textId="7D2BFFEB" w:rsidR="00073270" w:rsidRPr="00924D64" w:rsidRDefault="00073270" w:rsidP="00744FB6">
      <w:pPr>
        <w:pStyle w:val="Prrafodelista"/>
        <w:numPr>
          <w:ilvl w:val="0"/>
          <w:numId w:val="5"/>
        </w:numPr>
        <w:spacing w:line="276" w:lineRule="auto"/>
        <w:jc w:val="both"/>
        <w:rPr>
          <w:rFonts w:ascii="Arial" w:eastAsia="Arial" w:hAnsi="Arial" w:cs="Arial"/>
          <w:b/>
          <w:sz w:val="20"/>
          <w:szCs w:val="20"/>
        </w:rPr>
      </w:pPr>
      <w:r w:rsidRPr="00924D64">
        <w:rPr>
          <w:rFonts w:ascii="Arial" w:eastAsia="Arial" w:hAnsi="Arial" w:cs="Arial"/>
          <w:b/>
          <w:sz w:val="20"/>
          <w:szCs w:val="20"/>
        </w:rPr>
        <w:t xml:space="preserve">Seguridad Pública </w:t>
      </w:r>
    </w:p>
    <w:p w14:paraId="11BA620F" w14:textId="77777777" w:rsidR="00073270" w:rsidRPr="00E90EE7" w:rsidRDefault="00073270" w:rsidP="00744FB6">
      <w:pPr>
        <w:pStyle w:val="Prrafodelista"/>
        <w:spacing w:line="276" w:lineRule="auto"/>
        <w:jc w:val="both"/>
        <w:rPr>
          <w:rFonts w:ascii="Arial" w:eastAsia="Arial" w:hAnsi="Arial" w:cs="Arial"/>
          <w:sz w:val="20"/>
          <w:szCs w:val="20"/>
        </w:rPr>
      </w:pPr>
    </w:p>
    <w:p w14:paraId="3C424117" w14:textId="77777777" w:rsidR="00E90EE7" w:rsidRPr="00E90EE7" w:rsidRDefault="00E90EE7" w:rsidP="00744FB6">
      <w:pPr>
        <w:spacing w:line="276" w:lineRule="auto"/>
        <w:ind w:firstLine="360"/>
        <w:jc w:val="both"/>
        <w:rPr>
          <w:rFonts w:ascii="Arial" w:eastAsia="Arial" w:hAnsi="Arial" w:cs="Arial"/>
          <w:sz w:val="20"/>
          <w:szCs w:val="20"/>
        </w:rPr>
      </w:pPr>
      <w:r w:rsidRPr="00E90EE7">
        <w:rPr>
          <w:rFonts w:ascii="Arial" w:eastAsia="Arial" w:hAnsi="Arial" w:cs="Arial"/>
          <w:sz w:val="20"/>
          <w:szCs w:val="20"/>
        </w:rPr>
        <w:t xml:space="preserve">Durante 2025, la Región de Coquimbo registró 545.831 procedimientos policiales. Los Delitos de Mayor Connotación Social disminuyeron un 5,1% respecto de 2024, con bajas de 12,6% en robos con violencia y de 7,2% en el total de robos. Además, se contabilizaron 34 víctimas de homicidio consumado, con una tasa regional de 3,8 por cada 100 mil habitantes, inferior a la tasa nacional de 5,4 y en descenso respecto de los años anteriores. </w:t>
      </w:r>
    </w:p>
    <w:p w14:paraId="54C7DE67" w14:textId="77777777" w:rsidR="00E90EE7" w:rsidRPr="00E90EE7" w:rsidRDefault="00E90EE7" w:rsidP="00744FB6">
      <w:pPr>
        <w:spacing w:line="276" w:lineRule="auto"/>
        <w:ind w:firstLine="360"/>
        <w:jc w:val="both"/>
        <w:rPr>
          <w:rFonts w:ascii="Arial" w:eastAsia="Arial" w:hAnsi="Arial" w:cs="Arial"/>
          <w:sz w:val="20"/>
          <w:szCs w:val="20"/>
        </w:rPr>
      </w:pPr>
      <w:r w:rsidRPr="00E90EE7">
        <w:rPr>
          <w:rFonts w:ascii="Arial" w:eastAsia="Arial" w:hAnsi="Arial" w:cs="Arial"/>
          <w:sz w:val="20"/>
          <w:szCs w:val="20"/>
        </w:rPr>
        <w:t>Carabineros registró 16.376 personas detenidas y la Policía de Investigaciones, 1.180. En el combate al narcotráfico se incautaron 17.986 kilos de drogas, un 79% más que en 2024, junto con 218.363 plantas de cannabis. Mediante el Plan Cannabis 2025-2026, las unidades especializadas reforzaron los operativos en sectores rurales de Choapa, Limarí y Elqui.</w:t>
      </w:r>
    </w:p>
    <w:p w14:paraId="12AC0776" w14:textId="77777777" w:rsidR="00E90EE7" w:rsidRPr="00E90EE7" w:rsidRDefault="00E90EE7" w:rsidP="00744FB6">
      <w:pPr>
        <w:spacing w:line="276" w:lineRule="auto"/>
        <w:ind w:firstLine="360"/>
        <w:jc w:val="both"/>
        <w:rPr>
          <w:rFonts w:ascii="Arial" w:eastAsia="Arial" w:hAnsi="Arial" w:cs="Arial"/>
          <w:sz w:val="20"/>
          <w:szCs w:val="20"/>
        </w:rPr>
      </w:pPr>
      <w:r w:rsidRPr="00E90EE7">
        <w:rPr>
          <w:rFonts w:ascii="Arial" w:eastAsia="Arial" w:hAnsi="Arial" w:cs="Arial"/>
          <w:sz w:val="20"/>
          <w:szCs w:val="20"/>
        </w:rPr>
        <w:t>Entre los principales hitos se encuentra la implementación de la Sección Regional OS9 de Carabineros, con una inversión de $140 millones, destinada a enfrentar el crimen organizado y los delitos violentos. Su trabajo permitió desarticular bandas criminales, recuperar 85 teléfonos robados durante las Fiestas Patrias de La Pampilla y detener a responsables de delitos de alta connotación. También se incorporaron 48 nuevos carabineros para fortalecer el patrullaje y la prevención en las unidades territoriales.</w:t>
      </w:r>
    </w:p>
    <w:p w14:paraId="6CA6FEE0" w14:textId="77777777" w:rsidR="00E90EE7" w:rsidRPr="00E90EE7" w:rsidRDefault="00E90EE7" w:rsidP="00744FB6">
      <w:pPr>
        <w:spacing w:line="276" w:lineRule="auto"/>
        <w:ind w:firstLine="360"/>
        <w:jc w:val="both"/>
        <w:rPr>
          <w:rFonts w:ascii="Arial" w:eastAsia="Arial" w:hAnsi="Arial" w:cs="Arial"/>
          <w:sz w:val="20"/>
          <w:szCs w:val="20"/>
        </w:rPr>
      </w:pPr>
      <w:r w:rsidRPr="00E90EE7">
        <w:rPr>
          <w:rFonts w:ascii="Arial" w:eastAsia="Arial" w:hAnsi="Arial" w:cs="Arial"/>
          <w:sz w:val="20"/>
          <w:szCs w:val="20"/>
        </w:rPr>
        <w:t>Asimismo, se implementó la Seremi de Seguridad Pública, se cumplió el 100% del Plan Regional contra el Crimen Organizado y se aplicó la Ley de Funerales de Alto Riesgo. El Plan Verano Seguro 2025-2026 redujo los delitos en un 14%, equivalente a casi 500 casos menos. Además, se constituyó la primera Mesa Regional de Seguridad Municipal y las quince comunas mantuvieron vigentes sus planes comunales de seguridad pública, posicionando a la región en el primer lugar nacional de cumplimiento documental.</w:t>
      </w:r>
    </w:p>
    <w:p w14:paraId="2EA63E9F" w14:textId="77777777" w:rsidR="00793417" w:rsidRPr="008F3466" w:rsidRDefault="00793417" w:rsidP="00744FB6">
      <w:pPr>
        <w:spacing w:line="276" w:lineRule="auto"/>
        <w:ind w:firstLine="360"/>
        <w:jc w:val="both"/>
        <w:rPr>
          <w:rFonts w:ascii="Arial" w:eastAsia="Arial" w:hAnsi="Arial" w:cs="Arial"/>
          <w:sz w:val="20"/>
          <w:szCs w:val="20"/>
        </w:rPr>
      </w:pPr>
    </w:p>
    <w:p w14:paraId="081C2EFB" w14:textId="25AE6437" w:rsidR="00073270" w:rsidRPr="00924D64" w:rsidRDefault="00073270" w:rsidP="00744FB6">
      <w:pPr>
        <w:pStyle w:val="Prrafodelista"/>
        <w:numPr>
          <w:ilvl w:val="0"/>
          <w:numId w:val="5"/>
        </w:numPr>
        <w:spacing w:line="276" w:lineRule="auto"/>
        <w:jc w:val="both"/>
        <w:rPr>
          <w:rFonts w:ascii="Arial" w:eastAsia="Arial" w:hAnsi="Arial" w:cs="Arial"/>
          <w:b/>
          <w:sz w:val="20"/>
          <w:szCs w:val="20"/>
        </w:rPr>
      </w:pPr>
      <w:r w:rsidRPr="00924D64">
        <w:rPr>
          <w:rFonts w:ascii="Arial" w:eastAsia="Arial" w:hAnsi="Arial" w:cs="Arial"/>
          <w:b/>
          <w:sz w:val="20"/>
          <w:szCs w:val="20"/>
        </w:rPr>
        <w:t xml:space="preserve">Salud </w:t>
      </w:r>
    </w:p>
    <w:p w14:paraId="6FDF098E" w14:textId="77777777" w:rsidR="006D71CA" w:rsidRPr="008F3466" w:rsidRDefault="006D71CA" w:rsidP="00744FB6">
      <w:pPr>
        <w:spacing w:line="276" w:lineRule="auto"/>
        <w:jc w:val="both"/>
        <w:rPr>
          <w:rFonts w:ascii="Arial" w:eastAsia="Arial" w:hAnsi="Arial" w:cs="Arial"/>
          <w:sz w:val="20"/>
          <w:szCs w:val="20"/>
        </w:rPr>
      </w:pPr>
    </w:p>
    <w:p w14:paraId="500B8C69" w14:textId="67E1D297" w:rsidR="004E24BC" w:rsidRPr="004E24BC" w:rsidRDefault="004E24BC" w:rsidP="00744FB6">
      <w:pPr>
        <w:spacing w:line="276" w:lineRule="auto"/>
        <w:ind w:firstLine="360"/>
        <w:jc w:val="both"/>
        <w:rPr>
          <w:rFonts w:ascii="Arial" w:eastAsia="Arial" w:hAnsi="Arial" w:cs="Arial"/>
          <w:sz w:val="20"/>
          <w:szCs w:val="20"/>
        </w:rPr>
      </w:pPr>
      <w:r w:rsidRPr="004E24BC">
        <w:rPr>
          <w:rFonts w:ascii="Arial" w:eastAsia="Arial" w:hAnsi="Arial" w:cs="Arial"/>
          <w:sz w:val="20"/>
          <w:szCs w:val="20"/>
        </w:rPr>
        <w:t>Durante 2025, la Seremi de Salud fortaleció la vigilancia epidemiológica, la fiscalización sanitaria y la prevención de enfermedades. Se validaron 2.651 notificaciones epidemiológicas y se investigaron 476 brotes, incluidos 243 asociados a enfermedades transmitidas por alimentos. Asimismo, la vacunación contra la influenza protegió a 327.754 personas, mientras la inmunización contra el virus respiratorio sincicial alcanzó una cobertura de 96,2% en recién nacidos y de 89,5% en lactantes.</w:t>
      </w:r>
    </w:p>
    <w:p w14:paraId="66166AA3" w14:textId="77777777" w:rsidR="004E24BC" w:rsidRPr="004E24BC" w:rsidRDefault="004E24BC" w:rsidP="00744FB6">
      <w:pPr>
        <w:spacing w:line="276" w:lineRule="auto"/>
        <w:ind w:firstLine="360"/>
        <w:jc w:val="both"/>
        <w:rPr>
          <w:rFonts w:ascii="Arial" w:eastAsia="Arial" w:hAnsi="Arial" w:cs="Arial"/>
          <w:sz w:val="20"/>
          <w:szCs w:val="20"/>
        </w:rPr>
      </w:pPr>
      <w:r w:rsidRPr="004E24BC">
        <w:rPr>
          <w:rFonts w:ascii="Arial" w:eastAsia="Arial" w:hAnsi="Arial" w:cs="Arial"/>
          <w:sz w:val="20"/>
          <w:szCs w:val="20"/>
        </w:rPr>
        <w:t>Los programas alimentarios PNAC y PACAM beneficiaron a 83.428 personas en las quince comunas, mediante 123 puntos de distribución y una inversión superior a $4.736 millones. Los planes de promoción de la salud alcanzaron a más de 587 mil personas en trece comunas, abordando alimentación saludable, actividad física, salud mental, salud bucal y prevención del consumo de tabaco y vapeadores.</w:t>
      </w:r>
    </w:p>
    <w:p w14:paraId="5D27A1A6" w14:textId="4585724F" w:rsidR="004E24BC" w:rsidRPr="004E24BC" w:rsidRDefault="004E24BC" w:rsidP="00744FB6">
      <w:pPr>
        <w:spacing w:line="276" w:lineRule="auto"/>
        <w:ind w:firstLine="360"/>
        <w:jc w:val="both"/>
        <w:rPr>
          <w:rFonts w:ascii="Arial" w:eastAsia="Arial" w:hAnsi="Arial" w:cs="Arial"/>
          <w:sz w:val="20"/>
          <w:szCs w:val="20"/>
        </w:rPr>
      </w:pPr>
      <w:r w:rsidRPr="004E24BC">
        <w:rPr>
          <w:rFonts w:ascii="Arial" w:eastAsia="Arial" w:hAnsi="Arial" w:cs="Arial"/>
          <w:sz w:val="20"/>
          <w:szCs w:val="20"/>
        </w:rPr>
        <w:t>En materia de agua, saneamiento y protección ambiental, se analizaron 728 muestras de sistemas urbanos, rurales y turísticos, se capacitó a 97 comités de Servicios Sanitarios Rurales y se aprobaron 419 proyectos de agua potable y alcantarillado para familias beneficiarias de subsidios habitacionales. El Laboratorio de Salud Pública Ambiental realizó 10.883 análisis de aguas y alimentos y renovó su acreditación técnica para el período 2026-2031.</w:t>
      </w:r>
    </w:p>
    <w:p w14:paraId="54714F45" w14:textId="77777777" w:rsidR="004E24BC" w:rsidRPr="004E24BC" w:rsidRDefault="004E24BC" w:rsidP="00744FB6">
      <w:pPr>
        <w:spacing w:line="276" w:lineRule="auto"/>
        <w:ind w:firstLine="360"/>
        <w:jc w:val="both"/>
        <w:rPr>
          <w:rFonts w:ascii="Arial" w:eastAsia="Arial" w:hAnsi="Arial" w:cs="Arial"/>
          <w:sz w:val="20"/>
          <w:szCs w:val="20"/>
        </w:rPr>
      </w:pPr>
      <w:r w:rsidRPr="004E24BC">
        <w:rPr>
          <w:rFonts w:ascii="Arial" w:eastAsia="Arial" w:hAnsi="Arial" w:cs="Arial"/>
          <w:sz w:val="20"/>
          <w:szCs w:val="20"/>
        </w:rPr>
        <w:t>La COMPIN tramitó 204.084 licencias médicas, realizó 52.856 atenciones y redujo el tiempo de resolución desde 34,9 días en diciembre de 2024 a 13,8 días en diciembre de 2025. También se habilitaron nuevas dependencias en el centro de La Serena para mejorar la atención a las personas usuarias.</w:t>
      </w:r>
    </w:p>
    <w:p w14:paraId="19FAEE79" w14:textId="77777777" w:rsidR="004E24BC" w:rsidRPr="004E24BC" w:rsidRDefault="004E24BC" w:rsidP="00744FB6">
      <w:pPr>
        <w:spacing w:line="276" w:lineRule="auto"/>
        <w:ind w:firstLine="360"/>
        <w:jc w:val="both"/>
        <w:rPr>
          <w:rFonts w:ascii="Arial" w:eastAsia="Arial" w:hAnsi="Arial" w:cs="Arial"/>
          <w:sz w:val="20"/>
          <w:szCs w:val="20"/>
        </w:rPr>
      </w:pPr>
    </w:p>
    <w:p w14:paraId="1A9B7C15" w14:textId="4A9B5AB8" w:rsidR="006D71CA" w:rsidRDefault="004E24BC" w:rsidP="00744FB6">
      <w:pPr>
        <w:spacing w:line="276" w:lineRule="auto"/>
        <w:ind w:firstLine="360"/>
        <w:jc w:val="both"/>
        <w:rPr>
          <w:rFonts w:ascii="Arial" w:eastAsia="Arial" w:hAnsi="Arial" w:cs="Arial"/>
          <w:sz w:val="20"/>
          <w:szCs w:val="20"/>
        </w:rPr>
      </w:pPr>
      <w:r w:rsidRPr="004E24BC">
        <w:rPr>
          <w:rFonts w:ascii="Arial" w:eastAsia="Arial" w:hAnsi="Arial" w:cs="Arial"/>
          <w:sz w:val="20"/>
          <w:szCs w:val="20"/>
        </w:rPr>
        <w:lastRenderedPageBreak/>
        <w:t>Desde el segundo semestre de 2025, la región recibió más de $2.200 millones adicionales para reducir las listas de espera, financiando cirugías, consultas de especialidad, prestaciones odontológicas y tratamientos de quimioterapia y radioterapia. Además, se adjudicaron 14 nuevas ambulancias con recursos del Gobierno Regional, junto con tres vehículos para el Hospital de Combarbalá y dos para el SAMU.</w:t>
      </w:r>
    </w:p>
    <w:p w14:paraId="460D3319" w14:textId="77777777" w:rsidR="004A1FB5" w:rsidRPr="008F3466" w:rsidRDefault="004A1FB5" w:rsidP="00744FB6">
      <w:pPr>
        <w:spacing w:line="276" w:lineRule="auto"/>
        <w:ind w:firstLine="360"/>
        <w:jc w:val="both"/>
        <w:rPr>
          <w:rFonts w:ascii="Arial" w:eastAsia="Arial" w:hAnsi="Arial" w:cs="Arial"/>
          <w:sz w:val="20"/>
          <w:szCs w:val="20"/>
        </w:rPr>
      </w:pPr>
    </w:p>
    <w:p w14:paraId="04025FF6" w14:textId="004CBBAA" w:rsidR="00073270" w:rsidRPr="00924D64" w:rsidRDefault="00073270" w:rsidP="00744FB6">
      <w:pPr>
        <w:pStyle w:val="Prrafodelista"/>
        <w:numPr>
          <w:ilvl w:val="0"/>
          <w:numId w:val="5"/>
        </w:numPr>
        <w:spacing w:line="276" w:lineRule="auto"/>
        <w:jc w:val="both"/>
        <w:rPr>
          <w:rFonts w:ascii="Arial" w:eastAsia="Arial" w:hAnsi="Arial" w:cs="Arial"/>
          <w:b/>
          <w:sz w:val="20"/>
          <w:szCs w:val="20"/>
        </w:rPr>
      </w:pPr>
      <w:r w:rsidRPr="00924D64">
        <w:rPr>
          <w:rFonts w:ascii="Arial" w:eastAsia="Arial" w:hAnsi="Arial" w:cs="Arial"/>
          <w:b/>
          <w:sz w:val="20"/>
          <w:szCs w:val="20"/>
        </w:rPr>
        <w:t xml:space="preserve">Vivienda </w:t>
      </w:r>
    </w:p>
    <w:p w14:paraId="677EA354" w14:textId="77777777" w:rsidR="00B7661B" w:rsidRPr="005D2CDB" w:rsidRDefault="00B7661B" w:rsidP="00744FB6">
      <w:pPr>
        <w:pStyle w:val="Prrafodelista"/>
        <w:spacing w:line="276" w:lineRule="auto"/>
        <w:jc w:val="both"/>
        <w:rPr>
          <w:rFonts w:ascii="Arial" w:eastAsia="Arial" w:hAnsi="Arial" w:cs="Arial"/>
          <w:sz w:val="20"/>
          <w:szCs w:val="20"/>
        </w:rPr>
      </w:pPr>
    </w:p>
    <w:p w14:paraId="33656327" w14:textId="77777777" w:rsidR="00FB0609" w:rsidRPr="00FB0609" w:rsidRDefault="00FB0609" w:rsidP="00744FB6">
      <w:pPr>
        <w:spacing w:line="276" w:lineRule="auto"/>
        <w:ind w:firstLine="360"/>
        <w:jc w:val="both"/>
        <w:rPr>
          <w:rFonts w:ascii="Arial" w:eastAsia="Arial" w:hAnsi="Arial" w:cs="Arial"/>
          <w:sz w:val="20"/>
          <w:szCs w:val="20"/>
        </w:rPr>
      </w:pPr>
      <w:r w:rsidRPr="00FB0609">
        <w:rPr>
          <w:rFonts w:ascii="Arial" w:eastAsia="Arial" w:hAnsi="Arial" w:cs="Arial"/>
          <w:sz w:val="20"/>
          <w:szCs w:val="20"/>
        </w:rPr>
        <w:t>Durante 2025, el MINVU ejecutó en la Región de Coquimbo más de $219 mil millones, un 9% más que el año anterior. Se otorgaron 5.756 subsidios habitacionales y se terminaron 5.144 soluciones de vivienda, mientras otras 6.916 unidades permanecían en ejecución al cierre del período.</w:t>
      </w:r>
    </w:p>
    <w:p w14:paraId="5399A6D5" w14:textId="03B8A21F" w:rsidR="00FB0609" w:rsidRPr="00FB0609" w:rsidRDefault="00FB0609" w:rsidP="00744FB6">
      <w:pPr>
        <w:spacing w:line="276" w:lineRule="auto"/>
        <w:ind w:firstLine="360"/>
        <w:jc w:val="both"/>
        <w:rPr>
          <w:rFonts w:ascii="Arial" w:eastAsia="Arial" w:hAnsi="Arial" w:cs="Arial"/>
          <w:sz w:val="20"/>
          <w:szCs w:val="20"/>
        </w:rPr>
      </w:pPr>
      <w:r w:rsidRPr="00FB0609">
        <w:rPr>
          <w:rFonts w:ascii="Arial" w:eastAsia="Arial" w:hAnsi="Arial" w:cs="Arial"/>
          <w:sz w:val="20"/>
          <w:szCs w:val="20"/>
        </w:rPr>
        <w:t>El Plan de Emergencia Habitacional superó la meta regional, alcanzando un 103,5% de cumplimiento, con 12.926 viviendas terminadas frente a las 12.490 comprometidas. No obstante, cinco proyectos de Integración Social y Territorial, que reúnen 1.212 viviendas en Coquimbo y Ovalle, permanecían paralizados y constituían un foco prioritario de seguimiento.</w:t>
      </w:r>
    </w:p>
    <w:p w14:paraId="48A22726" w14:textId="77777777" w:rsidR="00FB0609" w:rsidRPr="00FB0609" w:rsidRDefault="00FB0609" w:rsidP="00744FB6">
      <w:pPr>
        <w:spacing w:line="276" w:lineRule="auto"/>
        <w:ind w:firstLine="360"/>
        <w:jc w:val="both"/>
        <w:rPr>
          <w:rFonts w:ascii="Arial" w:eastAsia="Arial" w:hAnsi="Arial" w:cs="Arial"/>
          <w:sz w:val="20"/>
          <w:szCs w:val="20"/>
        </w:rPr>
      </w:pPr>
      <w:r w:rsidRPr="00FB0609">
        <w:rPr>
          <w:rFonts w:ascii="Arial" w:eastAsia="Arial" w:hAnsi="Arial" w:cs="Arial"/>
          <w:sz w:val="20"/>
          <w:szCs w:val="20"/>
        </w:rPr>
        <w:t>En materia urbana, finalizaron 18 contratos por más de $23 mil millones, correspondientes a obras de vialidad, parques, espacios públicos, rutas accesibles y pavimentos participativos. Entre ellas destacaron la Avenida Panorámica en Coquimbo, el Parque Urbano Cerro Grande en La Serena y la primera etapa de la Avenida Las Torres en Ovalle.</w:t>
      </w:r>
    </w:p>
    <w:p w14:paraId="0FC4BA9E" w14:textId="77777777" w:rsidR="00FB0609" w:rsidRPr="00FB0609" w:rsidRDefault="00FB0609" w:rsidP="00744FB6">
      <w:pPr>
        <w:spacing w:line="276" w:lineRule="auto"/>
        <w:ind w:firstLine="360"/>
        <w:jc w:val="both"/>
        <w:rPr>
          <w:rFonts w:ascii="Arial" w:eastAsia="Arial" w:hAnsi="Arial" w:cs="Arial"/>
          <w:sz w:val="20"/>
          <w:szCs w:val="20"/>
        </w:rPr>
      </w:pPr>
      <w:r w:rsidRPr="00FB0609">
        <w:rPr>
          <w:rFonts w:ascii="Arial" w:eastAsia="Arial" w:hAnsi="Arial" w:cs="Arial"/>
          <w:sz w:val="20"/>
          <w:szCs w:val="20"/>
        </w:rPr>
        <w:t xml:space="preserve">El programa Quiero Mi Barrio mantuvo 15 barrios activos durante 2025 y alcanzó una cobertura histórica de 41 barrios en doce comunas, beneficiando a más de 47 mil personas. Por su parte, el Programa para Pequeñas Localidades reunió diez localidades o sistemas seleccionados en ocho comunas, incorporando durante el año a Chungungo y </w:t>
      </w:r>
      <w:proofErr w:type="spellStart"/>
      <w:r w:rsidRPr="00FB0609">
        <w:rPr>
          <w:rFonts w:ascii="Arial" w:eastAsia="Arial" w:hAnsi="Arial" w:cs="Arial"/>
          <w:sz w:val="20"/>
          <w:szCs w:val="20"/>
        </w:rPr>
        <w:t>Quilimarí</w:t>
      </w:r>
      <w:proofErr w:type="spellEnd"/>
      <w:r w:rsidRPr="00FB0609">
        <w:rPr>
          <w:rFonts w:ascii="Arial" w:eastAsia="Arial" w:hAnsi="Arial" w:cs="Arial"/>
          <w:sz w:val="20"/>
          <w:szCs w:val="20"/>
        </w:rPr>
        <w:t xml:space="preserve"> Alto.</w:t>
      </w:r>
    </w:p>
    <w:p w14:paraId="093802C3" w14:textId="77777777" w:rsidR="00FB0609" w:rsidRPr="00FB0609" w:rsidRDefault="00FB0609" w:rsidP="00744FB6">
      <w:pPr>
        <w:spacing w:line="276" w:lineRule="auto"/>
        <w:ind w:firstLine="360"/>
        <w:jc w:val="both"/>
        <w:rPr>
          <w:rFonts w:ascii="Arial" w:eastAsia="Arial" w:hAnsi="Arial" w:cs="Arial"/>
          <w:sz w:val="20"/>
          <w:szCs w:val="20"/>
        </w:rPr>
      </w:pPr>
      <w:r w:rsidRPr="00FB0609">
        <w:rPr>
          <w:rFonts w:ascii="Arial" w:eastAsia="Arial" w:hAnsi="Arial" w:cs="Arial"/>
          <w:sz w:val="20"/>
          <w:szCs w:val="20"/>
        </w:rPr>
        <w:t>En planificación territorial, el 67% de las comunas cuenta con instrumentos actualizados y los tiempos promedio de tramitación disminuyeron de 139 a 51 días. Asimismo, cinco Planes Urbanos Habitacionales fueron incorporados a la cartera nacional y otros tres permanecían en estudio, con potencial para desarrollar más de ocho mil nuevas viviendas.</w:t>
      </w:r>
    </w:p>
    <w:p w14:paraId="3FCB53E4" w14:textId="4CBCD809" w:rsidR="005D2CDB" w:rsidRPr="005D2CDB" w:rsidRDefault="005D2CDB" w:rsidP="00744FB6">
      <w:pPr>
        <w:spacing w:line="276" w:lineRule="auto"/>
        <w:ind w:firstLine="360"/>
        <w:jc w:val="both"/>
        <w:rPr>
          <w:rFonts w:ascii="Arial" w:eastAsia="Arial" w:hAnsi="Arial" w:cs="Arial"/>
          <w:sz w:val="20"/>
          <w:szCs w:val="20"/>
        </w:rPr>
      </w:pPr>
    </w:p>
    <w:p w14:paraId="3A8FF814" w14:textId="77777777" w:rsidR="00B7661B" w:rsidRPr="008F3466" w:rsidRDefault="00B7661B" w:rsidP="00744FB6">
      <w:pPr>
        <w:spacing w:line="276" w:lineRule="auto"/>
        <w:jc w:val="both"/>
        <w:rPr>
          <w:rFonts w:ascii="Arial" w:eastAsia="Arial" w:hAnsi="Arial" w:cs="Arial"/>
          <w:sz w:val="20"/>
          <w:szCs w:val="20"/>
        </w:rPr>
      </w:pPr>
    </w:p>
    <w:p w14:paraId="448986B3" w14:textId="06D277A2" w:rsidR="00073270" w:rsidRPr="00924D64" w:rsidRDefault="00073270" w:rsidP="00744FB6">
      <w:pPr>
        <w:pStyle w:val="Prrafodelista"/>
        <w:numPr>
          <w:ilvl w:val="0"/>
          <w:numId w:val="5"/>
        </w:numPr>
        <w:spacing w:line="276" w:lineRule="auto"/>
        <w:jc w:val="both"/>
        <w:rPr>
          <w:rFonts w:ascii="Arial" w:eastAsia="Arial" w:hAnsi="Arial" w:cs="Arial"/>
          <w:b/>
          <w:sz w:val="20"/>
          <w:szCs w:val="20"/>
        </w:rPr>
      </w:pPr>
      <w:r w:rsidRPr="00924D64">
        <w:rPr>
          <w:rFonts w:ascii="Arial" w:eastAsia="Arial" w:hAnsi="Arial" w:cs="Arial"/>
          <w:b/>
          <w:sz w:val="20"/>
          <w:szCs w:val="20"/>
        </w:rPr>
        <w:t>Agua y Emergencia Hídrica</w:t>
      </w:r>
    </w:p>
    <w:p w14:paraId="00062552" w14:textId="77777777" w:rsidR="00B26C66" w:rsidRPr="008F3466" w:rsidRDefault="00B26C66" w:rsidP="00744FB6">
      <w:pPr>
        <w:pStyle w:val="Prrafodelista"/>
        <w:spacing w:line="276" w:lineRule="auto"/>
        <w:jc w:val="both"/>
        <w:rPr>
          <w:rFonts w:ascii="Arial" w:eastAsia="Arial" w:hAnsi="Arial" w:cs="Arial"/>
          <w:sz w:val="20"/>
          <w:szCs w:val="20"/>
        </w:rPr>
      </w:pPr>
    </w:p>
    <w:p w14:paraId="6B015ADD" w14:textId="1101E5AC" w:rsidR="00073270" w:rsidRPr="008F3466" w:rsidRDefault="00B26C66"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 xml:space="preserve">El proyecto de la Planta Desaladora para la Región de Coquimbo ya se encuentra formalmente adjudicado a la empresa Sacyr Agua por una inversión de US$ 318 millones, marcando un hito al ser la primera planta desaladora concesionada para consumo humano en Chile. </w:t>
      </w:r>
      <w:r w:rsidR="00073270" w:rsidRPr="008F3466">
        <w:rPr>
          <w:rFonts w:ascii="Arial" w:eastAsia="Arial" w:hAnsi="Arial" w:cs="Arial"/>
          <w:sz w:val="20"/>
          <w:szCs w:val="20"/>
        </w:rPr>
        <w:t xml:space="preserve">La iniciativa beneficiará a más de 460 mil habitantes de la conurbación La Serena-Coquimbo, otorgando seguridad de abastecimiento de agua potable en el contexto de la crisis hídrica. Paralelamente, a través de la Dirección de Obras Hidráulicas, se iniciaron los procesos para avanzar en plantas desaladoras para las provincias de Limarí y Choapa, y la localidad de </w:t>
      </w:r>
      <w:proofErr w:type="spellStart"/>
      <w:r w:rsidR="00073270" w:rsidRPr="008F3466">
        <w:rPr>
          <w:rFonts w:ascii="Arial" w:eastAsia="Arial" w:hAnsi="Arial" w:cs="Arial"/>
          <w:sz w:val="20"/>
          <w:szCs w:val="20"/>
        </w:rPr>
        <w:t>Quilimarí</w:t>
      </w:r>
      <w:proofErr w:type="spellEnd"/>
      <w:r w:rsidR="00073270" w:rsidRPr="008F3466">
        <w:rPr>
          <w:rFonts w:ascii="Arial" w:eastAsia="Arial" w:hAnsi="Arial" w:cs="Arial"/>
          <w:sz w:val="20"/>
          <w:szCs w:val="20"/>
        </w:rPr>
        <w:t>.</w:t>
      </w:r>
    </w:p>
    <w:p w14:paraId="35AEDE95" w14:textId="77777777" w:rsidR="00001929" w:rsidRPr="008F3466" w:rsidRDefault="00073270"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En lo relativo a abastecimiento de emergencia, la Delegación Presidencial Regional destina más de 5 mil millones de pesos anuales a la flota de camiones aljibe que atiende a las 15 comunas.</w:t>
      </w:r>
      <w:r w:rsidR="00001929" w:rsidRPr="008F3466">
        <w:rPr>
          <w:rFonts w:ascii="Arial" w:eastAsia="Arial" w:hAnsi="Arial" w:cs="Arial"/>
          <w:sz w:val="20"/>
          <w:szCs w:val="20"/>
        </w:rPr>
        <w:t xml:space="preserve"> Desde el año 2025 hasta la fecha, la Delegación Presidencial Regional de Coquimbo ha implementado un nuevo modelo de sistemas de abastecimiento de agua potable de emergencia en sectores rurales, con el objetivo de disminuir la dependencia estructural de los camiones aljibe. Ya se implementan en sectores como Alfalfares en La Serena y Pan de Azúcar en Coquimbo.</w:t>
      </w:r>
    </w:p>
    <w:p w14:paraId="171A5102" w14:textId="6F3A5C75" w:rsidR="004A0858" w:rsidRPr="008F3466" w:rsidRDefault="00073270" w:rsidP="00744FB6">
      <w:pPr>
        <w:spacing w:line="276" w:lineRule="auto"/>
        <w:ind w:firstLine="360"/>
        <w:jc w:val="both"/>
        <w:rPr>
          <w:rFonts w:ascii="Arial" w:eastAsia="Arial" w:hAnsi="Arial" w:cs="Arial"/>
          <w:sz w:val="20"/>
          <w:szCs w:val="20"/>
        </w:rPr>
      </w:pPr>
      <w:r w:rsidRPr="008F3466">
        <w:rPr>
          <w:rFonts w:ascii="Arial" w:eastAsia="Arial" w:hAnsi="Arial" w:cs="Arial"/>
          <w:sz w:val="20"/>
          <w:szCs w:val="20"/>
        </w:rPr>
        <w:t>Se avanza en soluciones estructurales como el mejoramiento de Servicios Sanitarios Rurales existentes y la construcción de nuevos pozos profundos. En el marco del Plan de Emergencia Hídrica se mantienen compromisos de conservación, mantención y ampliación de sistemas APR por 2.850 millones de pesos.</w:t>
      </w:r>
    </w:p>
    <w:p w14:paraId="2111CD1C" w14:textId="77777777" w:rsidR="00B06261" w:rsidRPr="008F3466" w:rsidRDefault="00B06261" w:rsidP="00744FB6">
      <w:pPr>
        <w:spacing w:line="276" w:lineRule="auto"/>
        <w:ind w:firstLine="708"/>
        <w:jc w:val="both"/>
        <w:rPr>
          <w:rFonts w:ascii="Arial" w:eastAsia="Arial" w:hAnsi="Arial" w:cs="Arial"/>
          <w:sz w:val="20"/>
          <w:szCs w:val="20"/>
        </w:rPr>
      </w:pPr>
    </w:p>
    <w:p w14:paraId="3302385D" w14:textId="5F817528" w:rsidR="00073270" w:rsidRPr="00924D64" w:rsidRDefault="008B519E" w:rsidP="00744FB6">
      <w:pPr>
        <w:pStyle w:val="Prrafodelista"/>
        <w:numPr>
          <w:ilvl w:val="0"/>
          <w:numId w:val="5"/>
        </w:numPr>
        <w:spacing w:line="276" w:lineRule="auto"/>
        <w:jc w:val="both"/>
        <w:rPr>
          <w:rFonts w:ascii="Arial" w:eastAsia="Arial" w:hAnsi="Arial" w:cs="Arial"/>
          <w:b/>
          <w:sz w:val="20"/>
          <w:szCs w:val="20"/>
        </w:rPr>
      </w:pPr>
      <w:r w:rsidRPr="00924D64">
        <w:rPr>
          <w:rFonts w:ascii="Arial" w:eastAsia="Arial" w:hAnsi="Arial" w:cs="Arial"/>
          <w:b/>
          <w:sz w:val="20"/>
          <w:szCs w:val="20"/>
        </w:rPr>
        <w:t>Obras Públicas</w:t>
      </w:r>
    </w:p>
    <w:p w14:paraId="02C1BF26" w14:textId="77777777" w:rsidR="00B06261" w:rsidRPr="008F3466" w:rsidRDefault="00B06261" w:rsidP="00744FB6">
      <w:pPr>
        <w:pStyle w:val="Prrafodelista"/>
        <w:spacing w:line="276" w:lineRule="auto"/>
        <w:jc w:val="both"/>
        <w:rPr>
          <w:rFonts w:ascii="Arial" w:eastAsia="Arial" w:hAnsi="Arial" w:cs="Arial"/>
          <w:sz w:val="20"/>
          <w:szCs w:val="20"/>
        </w:rPr>
      </w:pPr>
    </w:p>
    <w:p w14:paraId="31E18C62"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Durante 2025, el Ministerio de Obras Públicas ejecutó en la Región de Coquimbo más de $139.833 millones en inversión sectorial, destinados principalmente a conectividad vial, seguridad hídrica, servicios sanitarios rurales, infraestructura aeroportuaria, portuaria y concesiones.</w:t>
      </w:r>
    </w:p>
    <w:p w14:paraId="34D35721"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Entre las principales iniciativas del período destacó la Concesión Ruta 43, con una inversión superior a $11.700 millones, junto con proyectos de conservación de caminos y de la red vial regional por más de $11 mil millones, orientados a mejorar la conectividad y seguridad de rutas estratégicas.</w:t>
      </w:r>
    </w:p>
    <w:p w14:paraId="2AC26A6D"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En la Ruta 41-CH se implementaron señales, nuevos paraderos, pavimentos de alta fricción e iluminación, con una inversión cercana a $3.700 millones. También continuó el mejoramiento de la segunda concesión de la Ruta 5 Norte, entre Los Vilos y La Serena, a lo largo de 245 kilómetros.</w:t>
      </w:r>
    </w:p>
    <w:p w14:paraId="7F799E7A"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En infraestructura hídrica se ejecutaron obras de conservación de canales y cauces naturales. Entre ellas se encuentran las intervenciones en los canales Villalón, Camarico, Bellavista y Matriz Cogotí, orientadas a reducir pérdidas de agua y mejorar la eficiencia del riego.</w:t>
      </w:r>
    </w:p>
    <w:p w14:paraId="77C1A813"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Asimismo, se invirtieron más de $2.100 millones en la conservación de la Caleta Pesquera Artesanal de Coquimbo, fortaleciendo la infraestructura productiva y las condiciones de trabajo de la pesca artesanal.</w:t>
      </w:r>
    </w:p>
    <w:p w14:paraId="5B59E78C"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 xml:space="preserve">La Dirección General de Aguas amplió en un 22% la red hidrométrica regional, alcanzando 284 estaciones, mientras la red </w:t>
      </w:r>
      <w:proofErr w:type="spellStart"/>
      <w:r w:rsidRPr="00A32C8B">
        <w:rPr>
          <w:rFonts w:ascii="Arial" w:eastAsia="Arial" w:hAnsi="Arial" w:cs="Arial"/>
          <w:sz w:val="20"/>
          <w:szCs w:val="20"/>
        </w:rPr>
        <w:t>fluviométrica</w:t>
      </w:r>
      <w:proofErr w:type="spellEnd"/>
      <w:r w:rsidRPr="00A32C8B">
        <w:rPr>
          <w:rFonts w:ascii="Arial" w:eastAsia="Arial" w:hAnsi="Arial" w:cs="Arial"/>
          <w:sz w:val="20"/>
          <w:szCs w:val="20"/>
        </w:rPr>
        <w:t>, meteorológica y de embalses logró un 100% de transmisión en línea.</w:t>
      </w:r>
    </w:p>
    <w:p w14:paraId="2314CF6F" w14:textId="77777777" w:rsidR="00A32C8B" w:rsidRPr="00A32C8B" w:rsidRDefault="00A32C8B" w:rsidP="00744FB6">
      <w:pPr>
        <w:spacing w:line="276" w:lineRule="auto"/>
        <w:ind w:firstLine="708"/>
        <w:jc w:val="both"/>
        <w:rPr>
          <w:rFonts w:ascii="Arial" w:eastAsia="Arial" w:hAnsi="Arial" w:cs="Arial"/>
          <w:sz w:val="20"/>
          <w:szCs w:val="20"/>
        </w:rPr>
      </w:pPr>
      <w:r w:rsidRPr="00A32C8B">
        <w:rPr>
          <w:rFonts w:ascii="Arial" w:eastAsia="Arial" w:hAnsi="Arial" w:cs="Arial"/>
          <w:sz w:val="20"/>
          <w:szCs w:val="20"/>
        </w:rPr>
        <w:t xml:space="preserve">En Servicios Sanitarios Rurales finalizó el mejoramiento del sistema </w:t>
      </w:r>
      <w:proofErr w:type="spellStart"/>
      <w:r w:rsidRPr="00A32C8B">
        <w:rPr>
          <w:rFonts w:ascii="Arial" w:eastAsia="Arial" w:hAnsi="Arial" w:cs="Arial"/>
          <w:sz w:val="20"/>
          <w:szCs w:val="20"/>
        </w:rPr>
        <w:t>Coquimbito-Altovalsol</w:t>
      </w:r>
      <w:proofErr w:type="spellEnd"/>
      <w:r w:rsidRPr="00A32C8B">
        <w:rPr>
          <w:rFonts w:ascii="Arial" w:eastAsia="Arial" w:hAnsi="Arial" w:cs="Arial"/>
          <w:sz w:val="20"/>
          <w:szCs w:val="20"/>
        </w:rPr>
        <w:t>, en La Serena, por más de $2.951 millones. También se completaron tres nuevos puntos de posada para helicópteros y concluyeron las obras de la nueva sede regional de la Contraloría y de la infraestructura pesquera artesanal de Caleta Puerto Oscuro</w:t>
      </w:r>
    </w:p>
    <w:p w14:paraId="3D4C6A58" w14:textId="77777777" w:rsidR="00B06261" w:rsidRPr="008F3466" w:rsidRDefault="00B06261" w:rsidP="00744FB6">
      <w:pPr>
        <w:spacing w:line="276" w:lineRule="auto"/>
        <w:ind w:firstLine="708"/>
        <w:jc w:val="both"/>
        <w:rPr>
          <w:rFonts w:ascii="Arial" w:eastAsia="Arial" w:hAnsi="Arial" w:cs="Arial"/>
          <w:sz w:val="20"/>
          <w:szCs w:val="20"/>
        </w:rPr>
      </w:pPr>
    </w:p>
    <w:p w14:paraId="7F29552C" w14:textId="28349B9C" w:rsidR="001D6DA6" w:rsidRPr="00A441CB" w:rsidRDefault="00A441CB" w:rsidP="00744FB6">
      <w:pPr>
        <w:pStyle w:val="Prrafodelista"/>
        <w:numPr>
          <w:ilvl w:val="0"/>
          <w:numId w:val="5"/>
        </w:numPr>
        <w:spacing w:line="276" w:lineRule="auto"/>
        <w:jc w:val="both"/>
        <w:rPr>
          <w:rFonts w:ascii="Arial" w:eastAsia="Arial" w:hAnsi="Arial" w:cs="Arial"/>
          <w:b/>
          <w:sz w:val="20"/>
          <w:szCs w:val="20"/>
        </w:rPr>
      </w:pPr>
      <w:r w:rsidRPr="00A441CB">
        <w:rPr>
          <w:rFonts w:ascii="Arial" w:eastAsia="Arial" w:hAnsi="Arial" w:cs="Arial"/>
          <w:b/>
          <w:sz w:val="20"/>
          <w:szCs w:val="20"/>
        </w:rPr>
        <w:t>Ciencia, Tecnología, Conocimiento e Innovación</w:t>
      </w:r>
    </w:p>
    <w:p w14:paraId="012DC912" w14:textId="77777777" w:rsidR="00A441CB" w:rsidRPr="00924D64" w:rsidRDefault="00A441CB" w:rsidP="00744FB6">
      <w:pPr>
        <w:pStyle w:val="Prrafodelista"/>
        <w:spacing w:line="276" w:lineRule="auto"/>
        <w:jc w:val="both"/>
        <w:rPr>
          <w:rFonts w:ascii="Arial" w:eastAsia="Arial" w:hAnsi="Arial" w:cs="Arial"/>
          <w:b/>
          <w:sz w:val="20"/>
          <w:szCs w:val="20"/>
        </w:rPr>
      </w:pPr>
    </w:p>
    <w:p w14:paraId="7B7083C2" w14:textId="0E98A6EB" w:rsidR="00A441CB" w:rsidRPr="00A441CB"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Durante 2025, la Agencia Nacional de Investigación y Desarrollo ejecutó en la Región de Coquimbo más de $7.063 millones, destinados a proyectos de investigación, centros e investigación asociativa, generación de redes, difusión del conocimiento e investigación aplicada.</w:t>
      </w:r>
    </w:p>
    <w:p w14:paraId="6FBC3A4E" w14:textId="688068EF" w:rsidR="00A441CB" w:rsidRPr="00A441CB"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 xml:space="preserve">Del total regional, $855 millones, equivalentes al 12%, correspondieron a proyectos relacionados con astronomía y observatorios, financiados mediante instrumentos como </w:t>
      </w:r>
      <w:proofErr w:type="spellStart"/>
      <w:r w:rsidRPr="00A441CB">
        <w:rPr>
          <w:rFonts w:ascii="Arial" w:eastAsia="Arial" w:hAnsi="Arial" w:cs="Arial"/>
          <w:sz w:val="20"/>
          <w:szCs w:val="20"/>
        </w:rPr>
        <w:t>Fondecyt</w:t>
      </w:r>
      <w:proofErr w:type="spellEnd"/>
      <w:r w:rsidRPr="00A441CB">
        <w:rPr>
          <w:rFonts w:ascii="Arial" w:eastAsia="Arial" w:hAnsi="Arial" w:cs="Arial"/>
          <w:sz w:val="20"/>
          <w:szCs w:val="20"/>
        </w:rPr>
        <w:t xml:space="preserve">, </w:t>
      </w:r>
      <w:proofErr w:type="spellStart"/>
      <w:r w:rsidRPr="00A441CB">
        <w:rPr>
          <w:rFonts w:ascii="Arial" w:eastAsia="Arial" w:hAnsi="Arial" w:cs="Arial"/>
          <w:sz w:val="20"/>
          <w:szCs w:val="20"/>
        </w:rPr>
        <w:t>Fondef</w:t>
      </w:r>
      <w:proofErr w:type="spellEnd"/>
      <w:r w:rsidRPr="00A441CB">
        <w:rPr>
          <w:rFonts w:ascii="Arial" w:eastAsia="Arial" w:hAnsi="Arial" w:cs="Arial"/>
          <w:sz w:val="20"/>
          <w:szCs w:val="20"/>
        </w:rPr>
        <w:t xml:space="preserve"> y los programas de Astronomía de ANID. Entre ellos se incluyó el acceso científico al telescopio Gemini Sur.</w:t>
      </w:r>
    </w:p>
    <w:p w14:paraId="12B5B266" w14:textId="551FA0C0" w:rsidR="00A441CB" w:rsidRPr="00A441CB"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En formación de capital humano se adjudicaron 20 becas, correspondientes a 16 programas de doctorado y cuatro de magíster, tanto en Chile como en el extranjero.</w:t>
      </w:r>
    </w:p>
    <w:p w14:paraId="5F89BFA1" w14:textId="77777777" w:rsidR="00A441CB" w:rsidRPr="00A441CB"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El Proyecto Asociativo Regional Explora ejecutó $290 millones, beneficiando a 101 establecimientos educacionales y jardines infantiles, de los cuales un 35% se ubica en sectores rurales. La iniciativa fortaleció las competencias científicas, tecnológicas y de innovación de estudiantes y comunidades educativas.</w:t>
      </w:r>
    </w:p>
    <w:p w14:paraId="2E774707" w14:textId="77777777" w:rsidR="00A441CB" w:rsidRPr="00A441CB"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También se desarrolló el Festival de las Ciencias 2025 en la Plaza de Armas de La Serena, bajo el lema “Con Ciencia contra la Desinformación”. La actividad reunió aproximadamente a cuatro mil personas y contó con 22 espacios de universidades, centros de investigación, servicios públicos y empresas de base científico-tecnológica.</w:t>
      </w:r>
    </w:p>
    <w:p w14:paraId="703399CB" w14:textId="032FD059" w:rsidR="00D91DEE" w:rsidRDefault="00A441CB" w:rsidP="00744FB6">
      <w:pPr>
        <w:spacing w:line="276" w:lineRule="auto"/>
        <w:ind w:firstLine="708"/>
        <w:jc w:val="both"/>
        <w:rPr>
          <w:rFonts w:ascii="Arial" w:eastAsia="Arial" w:hAnsi="Arial" w:cs="Arial"/>
          <w:sz w:val="20"/>
          <w:szCs w:val="20"/>
        </w:rPr>
      </w:pPr>
      <w:r w:rsidRPr="00A441CB">
        <w:rPr>
          <w:rFonts w:ascii="Arial" w:eastAsia="Arial" w:hAnsi="Arial" w:cs="Arial"/>
          <w:sz w:val="20"/>
          <w:szCs w:val="20"/>
        </w:rPr>
        <w:t>En materia astronómica, se implementó el primer mapa digital de sitios científicos y observatorios, destinado a identificar su ubicación, tecnologías y estado operativo, contribuyendo a la protección de los cielos nocturnos y al fortalecimiento del astroturismo regional.</w:t>
      </w:r>
    </w:p>
    <w:p w14:paraId="1396FA05" w14:textId="741D01CE" w:rsidR="003A4E4D" w:rsidRPr="00905AEC" w:rsidRDefault="003A4E4D" w:rsidP="00744FB6">
      <w:pPr>
        <w:spacing w:line="276" w:lineRule="auto"/>
        <w:jc w:val="both"/>
        <w:rPr>
          <w:rFonts w:ascii="Arial" w:eastAsia="Arial" w:hAnsi="Arial" w:cs="Arial"/>
          <w:b/>
          <w:sz w:val="20"/>
          <w:szCs w:val="20"/>
        </w:rPr>
      </w:pPr>
    </w:p>
    <w:p w14:paraId="5CC78D00" w14:textId="0700F8B1" w:rsidR="00543F7E" w:rsidRPr="00905AEC" w:rsidRDefault="001F508B" w:rsidP="00744FB6">
      <w:pPr>
        <w:pStyle w:val="Prrafodelista"/>
        <w:numPr>
          <w:ilvl w:val="0"/>
          <w:numId w:val="5"/>
        </w:numPr>
        <w:spacing w:line="276" w:lineRule="auto"/>
        <w:jc w:val="both"/>
        <w:rPr>
          <w:rFonts w:ascii="Arial" w:eastAsia="Arial" w:hAnsi="Arial" w:cs="Arial"/>
          <w:b/>
          <w:sz w:val="20"/>
          <w:szCs w:val="20"/>
        </w:rPr>
      </w:pPr>
      <w:r w:rsidRPr="00905AEC">
        <w:rPr>
          <w:rFonts w:ascii="Arial" w:eastAsia="Arial" w:hAnsi="Arial" w:cs="Arial"/>
          <w:b/>
          <w:sz w:val="20"/>
          <w:szCs w:val="20"/>
        </w:rPr>
        <w:lastRenderedPageBreak/>
        <w:t>Minería</w:t>
      </w:r>
    </w:p>
    <w:p w14:paraId="1EB8994F" w14:textId="3CFA8774" w:rsidR="001D6DA6" w:rsidRPr="001D6DA6" w:rsidRDefault="001D6DA6" w:rsidP="00744FB6">
      <w:pPr>
        <w:pStyle w:val="Prrafodelista"/>
        <w:spacing w:line="276" w:lineRule="auto"/>
        <w:jc w:val="both"/>
        <w:rPr>
          <w:rFonts w:ascii="Arial" w:eastAsia="Arial" w:hAnsi="Arial" w:cs="Arial"/>
          <w:bCs/>
          <w:sz w:val="20"/>
          <w:szCs w:val="20"/>
        </w:rPr>
      </w:pPr>
    </w:p>
    <w:p w14:paraId="23D03AC8" w14:textId="7E3B9E69" w:rsidR="001F508B" w:rsidRPr="001F508B" w:rsidRDefault="001F508B" w:rsidP="00744FB6">
      <w:pPr>
        <w:spacing w:line="276" w:lineRule="auto"/>
        <w:ind w:firstLine="360"/>
        <w:jc w:val="both"/>
        <w:rPr>
          <w:rFonts w:ascii="Arial" w:eastAsia="Arial" w:hAnsi="Arial" w:cs="Arial"/>
          <w:sz w:val="20"/>
          <w:szCs w:val="20"/>
        </w:rPr>
      </w:pPr>
      <w:r w:rsidRPr="001F508B">
        <w:rPr>
          <w:rFonts w:ascii="Arial" w:eastAsia="Arial" w:hAnsi="Arial" w:cs="Arial"/>
          <w:sz w:val="20"/>
          <w:szCs w:val="20"/>
        </w:rPr>
        <w:t>Durante 2025, la Seremi de Minería fortaleció la pequeña minería y la minería artesanal mediante programas de financiamiento, asistencia técnica, seguridad operacional, regularización y mejoramiento de las capacidades productivas.</w:t>
      </w:r>
    </w:p>
    <w:p w14:paraId="73DC114C" w14:textId="48CF9E47" w:rsidR="001F508B" w:rsidRPr="001F508B" w:rsidRDefault="001F508B" w:rsidP="00744FB6">
      <w:pPr>
        <w:spacing w:line="276" w:lineRule="auto"/>
        <w:ind w:firstLine="360"/>
        <w:jc w:val="both"/>
        <w:rPr>
          <w:rFonts w:ascii="Arial" w:eastAsia="Arial" w:hAnsi="Arial" w:cs="Arial"/>
          <w:sz w:val="20"/>
          <w:szCs w:val="20"/>
        </w:rPr>
      </w:pPr>
      <w:r w:rsidRPr="001F508B">
        <w:rPr>
          <w:rFonts w:ascii="Arial" w:eastAsia="Arial" w:hAnsi="Arial" w:cs="Arial"/>
          <w:sz w:val="20"/>
          <w:szCs w:val="20"/>
        </w:rPr>
        <w:t>A través de las distintas líneas del programa PAMMA se financiaron 87 proyectos por más de $543 millones. Entre ellos, PAMMA Desarrollo apoyó 17 iniciativas por $110 millones; PAMMA Equipa, ocho proyectos por cerca de $33 millones; y las listas de espera de ambas líneas permitieron incorporar otras 19 iniciativas por más de $161 millones.</w:t>
      </w:r>
    </w:p>
    <w:p w14:paraId="306C74C2" w14:textId="5D336354" w:rsidR="001F508B" w:rsidRPr="001F508B" w:rsidRDefault="001F508B" w:rsidP="00744FB6">
      <w:pPr>
        <w:spacing w:line="276" w:lineRule="auto"/>
        <w:ind w:firstLine="360"/>
        <w:jc w:val="both"/>
        <w:rPr>
          <w:rFonts w:ascii="Arial" w:eastAsia="Arial" w:hAnsi="Arial" w:cs="Arial"/>
          <w:sz w:val="20"/>
          <w:szCs w:val="20"/>
        </w:rPr>
      </w:pPr>
      <w:r w:rsidRPr="001F508B">
        <w:rPr>
          <w:rFonts w:ascii="Arial" w:eastAsia="Arial" w:hAnsi="Arial" w:cs="Arial"/>
          <w:sz w:val="20"/>
          <w:szCs w:val="20"/>
        </w:rPr>
        <w:t>PAMMA Asociativo financió siete proyectos por $70 millones para fortalecer cooperativas y organizaciones gremiales. Asimismo, PAMMA Inicia Productivo apoyó cinco iniciativas por cerca de $42 millones y PAMMA Asistencia Técnica benefició a 24 proyectos, con una inversión superior a $66 millones, orientada a seguridad, productividad y regularización minera.</w:t>
      </w:r>
    </w:p>
    <w:p w14:paraId="522187E3" w14:textId="07C7C089" w:rsidR="001F508B" w:rsidRPr="001F508B" w:rsidRDefault="001F508B" w:rsidP="00744FB6">
      <w:pPr>
        <w:spacing w:line="276" w:lineRule="auto"/>
        <w:ind w:firstLine="360"/>
        <w:jc w:val="both"/>
        <w:rPr>
          <w:rFonts w:ascii="Arial" w:eastAsia="Arial" w:hAnsi="Arial" w:cs="Arial"/>
          <w:sz w:val="20"/>
          <w:szCs w:val="20"/>
        </w:rPr>
      </w:pPr>
      <w:r w:rsidRPr="001F508B">
        <w:rPr>
          <w:rFonts w:ascii="Arial" w:eastAsia="Arial" w:hAnsi="Arial" w:cs="Arial"/>
          <w:sz w:val="20"/>
          <w:szCs w:val="20"/>
        </w:rPr>
        <w:t>En el marco del programa FNDR para el desarrollo sostenible de la minería de menor escala, se completaron los diagnósticos de factibilidad para incorporar energías renovables y se superaron las metas programadas de informes ambientales, sanitarios, asesorías geológicas, visitas técnicas, seguridad, asistencia legal y planes de emergencia.</w:t>
      </w:r>
    </w:p>
    <w:p w14:paraId="4D28F468" w14:textId="29F9075A" w:rsidR="003A4E4D" w:rsidRDefault="001F508B" w:rsidP="00744FB6">
      <w:pPr>
        <w:spacing w:line="276" w:lineRule="auto"/>
        <w:ind w:firstLine="360"/>
        <w:jc w:val="both"/>
        <w:rPr>
          <w:rFonts w:ascii="Arial" w:eastAsia="Arial" w:hAnsi="Arial" w:cs="Arial"/>
          <w:sz w:val="20"/>
          <w:szCs w:val="20"/>
        </w:rPr>
      </w:pPr>
      <w:r w:rsidRPr="001F508B">
        <w:rPr>
          <w:rFonts w:ascii="Arial" w:eastAsia="Arial" w:hAnsi="Arial" w:cs="Arial"/>
          <w:sz w:val="20"/>
          <w:szCs w:val="20"/>
        </w:rPr>
        <w:t>También se realizaron capacitaciones en Salamanca, Illapel y Combarbalá sobre geología, mineralogía, planificación, sustentabilidad ambiental y seguridad minera. El programa registró una ejecución financiera de $465,8 millones, equivalente al 29,15% de un presupuesto total de $1.598 millones.</w:t>
      </w:r>
    </w:p>
    <w:p w14:paraId="7EED0E7C" w14:textId="77777777" w:rsidR="00B705EC" w:rsidRDefault="00B705EC" w:rsidP="00744FB6">
      <w:pPr>
        <w:spacing w:line="276" w:lineRule="auto"/>
        <w:ind w:firstLine="360"/>
        <w:jc w:val="both"/>
        <w:rPr>
          <w:rFonts w:ascii="Arial" w:eastAsia="Arial" w:hAnsi="Arial" w:cs="Arial"/>
          <w:sz w:val="20"/>
          <w:szCs w:val="20"/>
        </w:rPr>
      </w:pPr>
    </w:p>
    <w:p w14:paraId="515C9F60" w14:textId="1F13B737" w:rsidR="00B705EC" w:rsidRDefault="00B705EC" w:rsidP="00744FB6">
      <w:pPr>
        <w:pStyle w:val="Prrafodelista"/>
        <w:numPr>
          <w:ilvl w:val="0"/>
          <w:numId w:val="5"/>
        </w:numPr>
        <w:spacing w:line="276" w:lineRule="auto"/>
        <w:jc w:val="both"/>
        <w:rPr>
          <w:rFonts w:ascii="Arial" w:eastAsia="Arial" w:hAnsi="Arial" w:cs="Arial"/>
          <w:b/>
          <w:bCs/>
          <w:sz w:val="20"/>
          <w:szCs w:val="20"/>
        </w:rPr>
      </w:pPr>
      <w:r w:rsidRPr="00432BC7">
        <w:rPr>
          <w:rFonts w:ascii="Arial" w:eastAsia="Arial" w:hAnsi="Arial" w:cs="Arial"/>
          <w:b/>
          <w:bCs/>
          <w:sz w:val="20"/>
          <w:szCs w:val="20"/>
        </w:rPr>
        <w:t>Cultura, las Artes y el Patrimonio.</w:t>
      </w:r>
    </w:p>
    <w:p w14:paraId="6599E3E6" w14:textId="77777777" w:rsidR="00D76233" w:rsidRPr="00432BC7" w:rsidRDefault="00D76233" w:rsidP="00744FB6">
      <w:pPr>
        <w:pStyle w:val="Prrafodelista"/>
        <w:spacing w:line="276" w:lineRule="auto"/>
        <w:jc w:val="both"/>
        <w:rPr>
          <w:rFonts w:ascii="Arial" w:eastAsia="Arial" w:hAnsi="Arial" w:cs="Arial"/>
          <w:b/>
          <w:bCs/>
          <w:sz w:val="20"/>
          <w:szCs w:val="20"/>
        </w:rPr>
      </w:pPr>
    </w:p>
    <w:p w14:paraId="712D45C9" w14:textId="77777777" w:rsidR="000958CA" w:rsidRPr="000958CA" w:rsidRDefault="000958CA" w:rsidP="00744FB6">
      <w:pPr>
        <w:spacing w:line="276" w:lineRule="auto"/>
        <w:ind w:firstLine="360"/>
        <w:jc w:val="both"/>
        <w:rPr>
          <w:rFonts w:ascii="Arial" w:eastAsia="Arial" w:hAnsi="Arial" w:cs="Arial"/>
          <w:sz w:val="20"/>
          <w:szCs w:val="20"/>
        </w:rPr>
      </w:pPr>
      <w:r w:rsidRPr="000958CA">
        <w:rPr>
          <w:rFonts w:ascii="Arial" w:eastAsia="Arial" w:hAnsi="Arial" w:cs="Arial"/>
          <w:sz w:val="20"/>
          <w:szCs w:val="20"/>
        </w:rPr>
        <w:t xml:space="preserve">Durante 2025 se ejecutaron más de $2.425 millones en fondos concursables, financiando 157 proyectos de música, libro y lectura, artes escénicas, audiovisual y </w:t>
      </w:r>
      <w:proofErr w:type="spellStart"/>
      <w:r w:rsidRPr="000958CA">
        <w:rPr>
          <w:rFonts w:ascii="Arial" w:eastAsia="Arial" w:hAnsi="Arial" w:cs="Arial"/>
          <w:sz w:val="20"/>
          <w:szCs w:val="20"/>
        </w:rPr>
        <w:t>Fondart</w:t>
      </w:r>
      <w:proofErr w:type="spellEnd"/>
      <w:r w:rsidRPr="000958CA">
        <w:rPr>
          <w:rFonts w:ascii="Arial" w:eastAsia="Arial" w:hAnsi="Arial" w:cs="Arial"/>
          <w:sz w:val="20"/>
          <w:szCs w:val="20"/>
        </w:rPr>
        <w:t>, con cobertura en nueve comunas de la Región de Coquimbo.</w:t>
      </w:r>
    </w:p>
    <w:p w14:paraId="2CB8658C" w14:textId="45BE1651" w:rsidR="000958CA" w:rsidRPr="000958CA" w:rsidRDefault="000958CA" w:rsidP="00744FB6">
      <w:pPr>
        <w:spacing w:line="276" w:lineRule="auto"/>
        <w:ind w:firstLine="360"/>
        <w:jc w:val="both"/>
        <w:rPr>
          <w:rFonts w:ascii="Arial" w:eastAsia="Arial" w:hAnsi="Arial" w:cs="Arial"/>
          <w:sz w:val="20"/>
          <w:szCs w:val="20"/>
        </w:rPr>
      </w:pPr>
      <w:r w:rsidRPr="000958CA">
        <w:rPr>
          <w:rFonts w:ascii="Arial" w:eastAsia="Arial" w:hAnsi="Arial" w:cs="Arial"/>
          <w:sz w:val="20"/>
          <w:szCs w:val="20"/>
        </w:rPr>
        <w:t xml:space="preserve">En educación artística, el Fondo de Fomento al Arte en la Educación financió seis proyectos por más de $43 millones, mientras Acciona desarrolló 14 proyectos artísticos en cinco establecimientos educacionales de las tres provincias. El programa </w:t>
      </w:r>
      <w:proofErr w:type="spellStart"/>
      <w:r w:rsidRPr="000958CA">
        <w:rPr>
          <w:rFonts w:ascii="Arial" w:eastAsia="Arial" w:hAnsi="Arial" w:cs="Arial"/>
          <w:sz w:val="20"/>
          <w:szCs w:val="20"/>
        </w:rPr>
        <w:t>Cecrea</w:t>
      </w:r>
      <w:proofErr w:type="spellEnd"/>
      <w:r w:rsidRPr="000958CA">
        <w:rPr>
          <w:rFonts w:ascii="Arial" w:eastAsia="Arial" w:hAnsi="Arial" w:cs="Arial"/>
          <w:sz w:val="20"/>
          <w:szCs w:val="20"/>
        </w:rPr>
        <w:t xml:space="preserve"> realizó 95 actividades para niños, niñas y jóvenes, además de diez instancias de formación para docentes, facilitadores y comunidades de aprendizaje.</w:t>
      </w:r>
    </w:p>
    <w:p w14:paraId="4494A800" w14:textId="391C67CE" w:rsidR="00924D64" w:rsidRDefault="000958CA" w:rsidP="00744FB6">
      <w:pPr>
        <w:spacing w:line="276" w:lineRule="auto"/>
        <w:ind w:firstLine="360"/>
        <w:jc w:val="both"/>
        <w:rPr>
          <w:rFonts w:ascii="Arial" w:eastAsia="Arial" w:hAnsi="Arial" w:cs="Arial"/>
          <w:sz w:val="20"/>
          <w:szCs w:val="20"/>
        </w:rPr>
      </w:pPr>
      <w:r w:rsidRPr="000958CA">
        <w:rPr>
          <w:rFonts w:ascii="Arial" w:eastAsia="Arial" w:hAnsi="Arial" w:cs="Arial"/>
          <w:sz w:val="20"/>
          <w:szCs w:val="20"/>
        </w:rPr>
        <w:t>Red Cultura ejecutó $145,4 millones y suscribió convenios con Punitaqui, La Serena y Monte Patria para actualizar y fortalecer sus planes municipales y espacios culturales. Asimismo, el Programa de Fortalecimiento de la Identidad Cultural Regional destinó cerca de $174 millones a actividades en las quince comunas, y Puntos de Cultura Comunitaria financió a 18 organizaciones, con una inversión superior a $237 millones.</w:t>
      </w:r>
    </w:p>
    <w:p w14:paraId="4535C4A7" w14:textId="77777777" w:rsidR="00924D64" w:rsidRDefault="00924D64" w:rsidP="00744FB6">
      <w:pPr>
        <w:spacing w:line="276" w:lineRule="auto"/>
        <w:ind w:firstLine="360"/>
        <w:jc w:val="both"/>
        <w:rPr>
          <w:rFonts w:ascii="Arial" w:eastAsia="Arial" w:hAnsi="Arial" w:cs="Arial"/>
          <w:sz w:val="20"/>
          <w:szCs w:val="20"/>
        </w:rPr>
      </w:pPr>
    </w:p>
    <w:p w14:paraId="5AEB3DF6" w14:textId="1B4225F5" w:rsidR="00924D64" w:rsidRDefault="00392E02" w:rsidP="00744FB6">
      <w:pPr>
        <w:pStyle w:val="Prrafodelista"/>
        <w:numPr>
          <w:ilvl w:val="0"/>
          <w:numId w:val="5"/>
        </w:numPr>
        <w:spacing w:line="276" w:lineRule="auto"/>
        <w:jc w:val="both"/>
        <w:rPr>
          <w:rFonts w:ascii="Arial" w:eastAsia="Arial" w:hAnsi="Arial" w:cs="Arial"/>
          <w:b/>
          <w:bCs/>
          <w:sz w:val="20"/>
          <w:szCs w:val="20"/>
        </w:rPr>
      </w:pPr>
      <w:r w:rsidRPr="00392E02">
        <w:rPr>
          <w:rFonts w:ascii="Arial" w:eastAsia="Arial" w:hAnsi="Arial" w:cs="Arial"/>
          <w:b/>
          <w:bCs/>
          <w:sz w:val="20"/>
          <w:szCs w:val="20"/>
        </w:rPr>
        <w:t>Agricultura</w:t>
      </w:r>
    </w:p>
    <w:p w14:paraId="4426750C" w14:textId="77777777" w:rsidR="00D76233" w:rsidRPr="00392E02" w:rsidRDefault="00D76233" w:rsidP="00744FB6">
      <w:pPr>
        <w:pStyle w:val="Prrafodelista"/>
        <w:spacing w:line="276" w:lineRule="auto"/>
        <w:jc w:val="both"/>
        <w:rPr>
          <w:rFonts w:ascii="Arial" w:eastAsia="Arial" w:hAnsi="Arial" w:cs="Arial"/>
          <w:b/>
          <w:bCs/>
          <w:sz w:val="20"/>
          <w:szCs w:val="20"/>
        </w:rPr>
      </w:pPr>
    </w:p>
    <w:p w14:paraId="0DE4A33C" w14:textId="77777777" w:rsidR="009445DE" w:rsidRPr="008058C2" w:rsidRDefault="009445DE" w:rsidP="00744FB6">
      <w:pPr>
        <w:spacing w:line="276" w:lineRule="auto"/>
        <w:jc w:val="both"/>
        <w:rPr>
          <w:rFonts w:ascii="Arial" w:eastAsia="Arial" w:hAnsi="Arial" w:cs="Arial"/>
          <w:b/>
          <w:bCs/>
          <w:sz w:val="20"/>
          <w:szCs w:val="20"/>
        </w:rPr>
      </w:pPr>
      <w:r w:rsidRPr="008058C2">
        <w:rPr>
          <w:rFonts w:ascii="Arial" w:eastAsia="Arial" w:hAnsi="Arial" w:cs="Arial"/>
          <w:b/>
          <w:bCs/>
          <w:sz w:val="20"/>
          <w:szCs w:val="20"/>
        </w:rPr>
        <w:t xml:space="preserve">Instituto de Investigaciones Agropecuarias — INIA </w:t>
      </w:r>
      <w:proofErr w:type="spellStart"/>
      <w:r w:rsidRPr="008058C2">
        <w:rPr>
          <w:rFonts w:ascii="Arial" w:eastAsia="Arial" w:hAnsi="Arial" w:cs="Arial"/>
          <w:b/>
          <w:bCs/>
          <w:sz w:val="20"/>
          <w:szCs w:val="20"/>
        </w:rPr>
        <w:t>Intihuasi</w:t>
      </w:r>
      <w:proofErr w:type="spellEnd"/>
    </w:p>
    <w:p w14:paraId="1756E79A" w14:textId="77777777" w:rsidR="009445DE" w:rsidRPr="009445DE" w:rsidRDefault="009445DE" w:rsidP="00744FB6">
      <w:pPr>
        <w:spacing w:line="276" w:lineRule="auto"/>
        <w:jc w:val="both"/>
        <w:rPr>
          <w:rFonts w:ascii="Arial" w:eastAsia="Arial" w:hAnsi="Arial" w:cs="Arial"/>
          <w:sz w:val="20"/>
          <w:szCs w:val="20"/>
        </w:rPr>
      </w:pPr>
    </w:p>
    <w:p w14:paraId="1C4CE0D2" w14:textId="6E004C54"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 xml:space="preserve">Durante 2025, INIA </w:t>
      </w:r>
      <w:proofErr w:type="spellStart"/>
      <w:r w:rsidRPr="009445DE">
        <w:rPr>
          <w:rFonts w:ascii="Arial" w:eastAsia="Arial" w:hAnsi="Arial" w:cs="Arial"/>
          <w:sz w:val="20"/>
          <w:szCs w:val="20"/>
        </w:rPr>
        <w:t>Intihuasi</w:t>
      </w:r>
      <w:proofErr w:type="spellEnd"/>
      <w:r w:rsidRPr="009445DE">
        <w:rPr>
          <w:rFonts w:ascii="Arial" w:eastAsia="Arial" w:hAnsi="Arial" w:cs="Arial"/>
          <w:sz w:val="20"/>
          <w:szCs w:val="20"/>
        </w:rPr>
        <w:t xml:space="preserve"> fortaleció su cartera de investigación, desarrollo e innovación mediante la adjudicación de nueve proyectos, enfocados en adaptación al cambio climático, eficiencia hídrica, agricultura sustentable, innovación frutícola y valorización de residuos agroindustriales.</w:t>
      </w:r>
    </w:p>
    <w:p w14:paraId="4C59A324"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 xml:space="preserve">Entre las iniciativas destacaron la recuperación productiva de la fruticultura en Choapa, la optimización del cultivo de mandarinas en Limarí, la producción orgánica de uva de mesa y el </w:t>
      </w:r>
      <w:r w:rsidRPr="009445DE">
        <w:rPr>
          <w:rFonts w:ascii="Arial" w:eastAsia="Arial" w:hAnsi="Arial" w:cs="Arial"/>
          <w:sz w:val="20"/>
          <w:szCs w:val="20"/>
        </w:rPr>
        <w:lastRenderedPageBreak/>
        <w:t>desarrollo del Centro de Ciencia e Innovación Vitivinícola. En el período 2025-2026 se elaboraron 37 perfiles y se postularon 24 proyectos.</w:t>
      </w:r>
    </w:p>
    <w:p w14:paraId="25D48787" w14:textId="77777777" w:rsidR="009445DE" w:rsidRPr="009445DE" w:rsidRDefault="009445DE" w:rsidP="00744FB6">
      <w:pPr>
        <w:spacing w:line="276" w:lineRule="auto"/>
        <w:jc w:val="both"/>
        <w:rPr>
          <w:rFonts w:ascii="Arial" w:eastAsia="Arial" w:hAnsi="Arial" w:cs="Arial"/>
          <w:sz w:val="20"/>
          <w:szCs w:val="20"/>
        </w:rPr>
      </w:pPr>
    </w:p>
    <w:p w14:paraId="65600BA6" w14:textId="77777777" w:rsidR="009445DE" w:rsidRPr="008058C2" w:rsidRDefault="009445DE" w:rsidP="00744FB6">
      <w:pPr>
        <w:spacing w:line="276" w:lineRule="auto"/>
        <w:jc w:val="both"/>
        <w:rPr>
          <w:rFonts w:ascii="Arial" w:eastAsia="Arial" w:hAnsi="Arial" w:cs="Arial"/>
          <w:b/>
          <w:bCs/>
          <w:sz w:val="20"/>
          <w:szCs w:val="20"/>
        </w:rPr>
      </w:pPr>
      <w:r w:rsidRPr="008058C2">
        <w:rPr>
          <w:rFonts w:ascii="Arial" w:eastAsia="Arial" w:hAnsi="Arial" w:cs="Arial"/>
          <w:b/>
          <w:bCs/>
          <w:sz w:val="20"/>
          <w:szCs w:val="20"/>
        </w:rPr>
        <w:t>Fundación para la Innovación Agraria — FIA</w:t>
      </w:r>
    </w:p>
    <w:p w14:paraId="30ABD5B1" w14:textId="77777777" w:rsidR="009445DE" w:rsidRPr="009445DE" w:rsidRDefault="009445DE" w:rsidP="00744FB6">
      <w:pPr>
        <w:spacing w:line="276" w:lineRule="auto"/>
        <w:jc w:val="both"/>
        <w:rPr>
          <w:rFonts w:ascii="Arial" w:eastAsia="Arial" w:hAnsi="Arial" w:cs="Arial"/>
          <w:sz w:val="20"/>
          <w:szCs w:val="20"/>
        </w:rPr>
      </w:pPr>
    </w:p>
    <w:p w14:paraId="4B31C0D7"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FIA mantuvo durante 2025 13 iniciativas regionales en ejecución, con un aporte superior a $1.106 millones, además de dos proyectos multirregionales por más de $379 millones. Estas iniciativas beneficiaron a productores pisqueros y frutícolas, cooperativas, emprendimientos y establecimientos técnico-profesionales.</w:t>
      </w:r>
    </w:p>
    <w:p w14:paraId="303F1E94"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 xml:space="preserve">El programa </w:t>
      </w:r>
      <w:proofErr w:type="spellStart"/>
      <w:r w:rsidRPr="009445DE">
        <w:rPr>
          <w:rFonts w:ascii="Arial" w:eastAsia="Arial" w:hAnsi="Arial" w:cs="Arial"/>
          <w:sz w:val="20"/>
          <w:szCs w:val="20"/>
        </w:rPr>
        <w:t>SaviaLab</w:t>
      </w:r>
      <w:proofErr w:type="spellEnd"/>
      <w:r w:rsidRPr="009445DE">
        <w:rPr>
          <w:rFonts w:ascii="Arial" w:eastAsia="Arial" w:hAnsi="Arial" w:cs="Arial"/>
          <w:sz w:val="20"/>
          <w:szCs w:val="20"/>
        </w:rPr>
        <w:t xml:space="preserve"> reunió a 106 estudiantes y 12 docentes de seis establecimientos rurales de las tres provincias. También se apoyó a cooperativas mediante </w:t>
      </w:r>
      <w:proofErr w:type="spellStart"/>
      <w:r w:rsidRPr="009445DE">
        <w:rPr>
          <w:rFonts w:ascii="Arial" w:eastAsia="Arial" w:hAnsi="Arial" w:cs="Arial"/>
          <w:sz w:val="20"/>
          <w:szCs w:val="20"/>
        </w:rPr>
        <w:t>AgroCoopInnova</w:t>
      </w:r>
      <w:proofErr w:type="spellEnd"/>
      <w:r w:rsidRPr="009445DE">
        <w:rPr>
          <w:rFonts w:ascii="Arial" w:eastAsia="Arial" w:hAnsi="Arial" w:cs="Arial"/>
          <w:sz w:val="20"/>
          <w:szCs w:val="20"/>
        </w:rPr>
        <w:t xml:space="preserve"> y se impulsaron proyectos relacionados con biofábricas, manejo de chirimoyos, valorización de la papaya, flores comestibles, vitivinicultura y reutilización de subproductos de la industria pisquera.</w:t>
      </w:r>
    </w:p>
    <w:p w14:paraId="0084E07F" w14:textId="77777777" w:rsidR="009445DE" w:rsidRPr="009445DE" w:rsidRDefault="009445DE" w:rsidP="00744FB6">
      <w:pPr>
        <w:spacing w:line="276" w:lineRule="auto"/>
        <w:jc w:val="both"/>
        <w:rPr>
          <w:rFonts w:ascii="Arial" w:eastAsia="Arial" w:hAnsi="Arial" w:cs="Arial"/>
          <w:sz w:val="20"/>
          <w:szCs w:val="20"/>
        </w:rPr>
      </w:pPr>
    </w:p>
    <w:p w14:paraId="04A51B9E" w14:textId="77777777" w:rsidR="009445DE" w:rsidRPr="008058C2" w:rsidRDefault="009445DE" w:rsidP="00744FB6">
      <w:pPr>
        <w:spacing w:line="276" w:lineRule="auto"/>
        <w:jc w:val="both"/>
        <w:rPr>
          <w:rFonts w:ascii="Arial" w:eastAsia="Arial" w:hAnsi="Arial" w:cs="Arial"/>
          <w:b/>
          <w:bCs/>
          <w:sz w:val="20"/>
          <w:szCs w:val="20"/>
        </w:rPr>
      </w:pPr>
      <w:r w:rsidRPr="008058C2">
        <w:rPr>
          <w:rFonts w:ascii="Arial" w:eastAsia="Arial" w:hAnsi="Arial" w:cs="Arial"/>
          <w:b/>
          <w:bCs/>
          <w:sz w:val="20"/>
          <w:szCs w:val="20"/>
        </w:rPr>
        <w:t>Corporación Nacional Forestal — CONAF</w:t>
      </w:r>
    </w:p>
    <w:p w14:paraId="4D2127B5" w14:textId="77777777" w:rsidR="009445DE" w:rsidRPr="009445DE" w:rsidRDefault="009445DE" w:rsidP="00744FB6">
      <w:pPr>
        <w:spacing w:line="276" w:lineRule="auto"/>
        <w:jc w:val="both"/>
        <w:rPr>
          <w:rFonts w:ascii="Arial" w:eastAsia="Arial" w:hAnsi="Arial" w:cs="Arial"/>
          <w:sz w:val="20"/>
          <w:szCs w:val="20"/>
        </w:rPr>
      </w:pPr>
    </w:p>
    <w:p w14:paraId="0BFD2FA5"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Durante 2025, CONAF restauró 298 hectáreas de bosque nativo mediante el programa Siembra por Chile y benefició a más de 3.400 productores a través del programa regional PREMST.</w:t>
      </w:r>
    </w:p>
    <w:p w14:paraId="6BB1026E"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El Programa de Emergencia de Empleo administró 4.224 cupos laborales, con una inversión de $1.543 millones. En prevención y combate de incendios forestales se atendieron 99 siniestros, mientras que en arborización se entregaron más de 20 mil plantas. Asimismo, se reforzó la fiscalización forestal mediante herramientas geoespaciales, detectándose 272,41 hectáreas afectadas por corta no autorizada.</w:t>
      </w:r>
    </w:p>
    <w:p w14:paraId="00B7248F" w14:textId="77777777" w:rsidR="009445DE" w:rsidRPr="009445DE" w:rsidRDefault="009445DE" w:rsidP="00744FB6">
      <w:pPr>
        <w:spacing w:line="276" w:lineRule="auto"/>
        <w:jc w:val="both"/>
        <w:rPr>
          <w:rFonts w:ascii="Arial" w:eastAsia="Arial" w:hAnsi="Arial" w:cs="Arial"/>
          <w:sz w:val="20"/>
          <w:szCs w:val="20"/>
        </w:rPr>
      </w:pPr>
    </w:p>
    <w:p w14:paraId="0D023953" w14:textId="77777777" w:rsidR="009445DE" w:rsidRPr="008058C2" w:rsidRDefault="009445DE" w:rsidP="00744FB6">
      <w:pPr>
        <w:spacing w:line="276" w:lineRule="auto"/>
        <w:jc w:val="both"/>
        <w:rPr>
          <w:rFonts w:ascii="Arial" w:eastAsia="Arial" w:hAnsi="Arial" w:cs="Arial"/>
          <w:b/>
          <w:bCs/>
          <w:sz w:val="20"/>
          <w:szCs w:val="20"/>
        </w:rPr>
      </w:pPr>
      <w:r w:rsidRPr="008058C2">
        <w:rPr>
          <w:rFonts w:ascii="Arial" w:eastAsia="Arial" w:hAnsi="Arial" w:cs="Arial"/>
          <w:b/>
          <w:bCs/>
          <w:sz w:val="20"/>
          <w:szCs w:val="20"/>
        </w:rPr>
        <w:t>Servicio Agrícola y Ganadero — SAG</w:t>
      </w:r>
    </w:p>
    <w:p w14:paraId="295DE18C" w14:textId="77777777" w:rsidR="009445DE" w:rsidRPr="009445DE" w:rsidRDefault="009445DE" w:rsidP="00744FB6">
      <w:pPr>
        <w:spacing w:line="276" w:lineRule="auto"/>
        <w:jc w:val="both"/>
        <w:rPr>
          <w:rFonts w:ascii="Arial" w:eastAsia="Arial" w:hAnsi="Arial" w:cs="Arial"/>
          <w:sz w:val="20"/>
          <w:szCs w:val="20"/>
        </w:rPr>
      </w:pPr>
    </w:p>
    <w:p w14:paraId="11A28646"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Durante 2025, el SAG interceptó 3.783 productos de riesgo en controles fronterizos y decomisó 2.142 kilos, principalmente en el complejo Agua Negra. También mantuvo la vigilancia agrícola, forestal y pecuaria, conservando la condición regional de zona provisionalmente libre de brucelosis bovina.</w:t>
      </w:r>
    </w:p>
    <w:p w14:paraId="36A50517"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Ante la aparición simultánea de hasta 14 brotes de mosca de la fruta en Ovalle, Monte Patria, Río Hurtado y La Serena, se implementaron campañas intensivas de erradicación. Además, el servicio evaluó dentro de plazo el 100% de los 55 pronunciamientos ambientales ingresados y destinó $120 millones a 22 productores y comuneros, interviniendo 71 hectáreas mediante el programa SIRSD-S.</w:t>
      </w:r>
    </w:p>
    <w:p w14:paraId="73C1252C" w14:textId="77777777" w:rsidR="009445DE" w:rsidRPr="009445DE" w:rsidRDefault="009445DE" w:rsidP="00744FB6">
      <w:pPr>
        <w:spacing w:line="276" w:lineRule="auto"/>
        <w:jc w:val="both"/>
        <w:rPr>
          <w:rFonts w:ascii="Arial" w:eastAsia="Arial" w:hAnsi="Arial" w:cs="Arial"/>
          <w:sz w:val="20"/>
          <w:szCs w:val="20"/>
        </w:rPr>
      </w:pPr>
    </w:p>
    <w:p w14:paraId="53BBFB06" w14:textId="77777777" w:rsidR="009445DE" w:rsidRPr="008058C2" w:rsidRDefault="009445DE" w:rsidP="00744FB6">
      <w:pPr>
        <w:spacing w:line="276" w:lineRule="auto"/>
        <w:jc w:val="both"/>
        <w:rPr>
          <w:rFonts w:ascii="Arial" w:eastAsia="Arial" w:hAnsi="Arial" w:cs="Arial"/>
          <w:b/>
          <w:bCs/>
          <w:sz w:val="20"/>
          <w:szCs w:val="20"/>
        </w:rPr>
      </w:pPr>
      <w:r w:rsidRPr="008058C2">
        <w:rPr>
          <w:rFonts w:ascii="Arial" w:eastAsia="Arial" w:hAnsi="Arial" w:cs="Arial"/>
          <w:b/>
          <w:bCs/>
          <w:sz w:val="20"/>
          <w:szCs w:val="20"/>
        </w:rPr>
        <w:t>Instituto de Desarrollo Agropecuario — INDAP</w:t>
      </w:r>
    </w:p>
    <w:p w14:paraId="6D9A00B3" w14:textId="77777777" w:rsidR="009445DE" w:rsidRPr="009445DE" w:rsidRDefault="009445DE" w:rsidP="00744FB6">
      <w:pPr>
        <w:spacing w:line="276" w:lineRule="auto"/>
        <w:jc w:val="both"/>
        <w:rPr>
          <w:rFonts w:ascii="Arial" w:eastAsia="Arial" w:hAnsi="Arial" w:cs="Arial"/>
          <w:sz w:val="20"/>
          <w:szCs w:val="20"/>
        </w:rPr>
      </w:pPr>
    </w:p>
    <w:p w14:paraId="4819C5F8"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INDAP atendió durante 2025 a 6.981 usuarios y organizaciones de la Agricultura Familiar Campesina, alcanzando una ejecución presupuestaria de más de $8.294 millones, equivalente al 98,2% de los recursos asignados.</w:t>
      </w:r>
    </w:p>
    <w:p w14:paraId="04697E4C"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Entre las principales acciones estuvieron los programas Mi Primer Negocio Rural, Jóvenes Rurales, apoyo a artesanas y la inauguración de un Mercado Campesino en La Serena. En materia de riego se ejecutaron más de $1.952 millones, financiando revestimiento de canales, sistemas fotovoltaicos, atrapanieblas y la regularización de derechos de agua para 118 usuarios. También se avanzó en el Plan Caprino Lechero y en el fortalecimiento de cooperativas y organizaciones campesinas.</w:t>
      </w:r>
    </w:p>
    <w:p w14:paraId="5E1ED3A5" w14:textId="77777777" w:rsidR="009445DE" w:rsidRPr="009445DE" w:rsidRDefault="009445DE" w:rsidP="00744FB6">
      <w:pPr>
        <w:spacing w:line="276" w:lineRule="auto"/>
        <w:jc w:val="both"/>
        <w:rPr>
          <w:rFonts w:ascii="Arial" w:eastAsia="Arial" w:hAnsi="Arial" w:cs="Arial"/>
          <w:sz w:val="20"/>
          <w:szCs w:val="20"/>
        </w:rPr>
      </w:pPr>
    </w:p>
    <w:p w14:paraId="5FAA36F5" w14:textId="31231E4C" w:rsidR="009445DE" w:rsidRPr="00D20279" w:rsidRDefault="009445DE" w:rsidP="00744FB6">
      <w:pPr>
        <w:spacing w:line="276" w:lineRule="auto"/>
        <w:jc w:val="both"/>
        <w:rPr>
          <w:rFonts w:ascii="Arial" w:eastAsia="Arial" w:hAnsi="Arial" w:cs="Arial"/>
          <w:b/>
          <w:bCs/>
          <w:sz w:val="20"/>
          <w:szCs w:val="20"/>
        </w:rPr>
      </w:pPr>
      <w:r w:rsidRPr="00D20279">
        <w:rPr>
          <w:rFonts w:ascii="Arial" w:eastAsia="Arial" w:hAnsi="Arial" w:cs="Arial"/>
          <w:b/>
          <w:bCs/>
          <w:sz w:val="20"/>
          <w:szCs w:val="20"/>
        </w:rPr>
        <w:t xml:space="preserve">Instituto Forestal </w:t>
      </w:r>
    </w:p>
    <w:p w14:paraId="200B42ED" w14:textId="77777777" w:rsidR="009445DE" w:rsidRPr="009445DE" w:rsidRDefault="009445DE" w:rsidP="00744FB6">
      <w:pPr>
        <w:spacing w:line="276" w:lineRule="auto"/>
        <w:jc w:val="both"/>
        <w:rPr>
          <w:rFonts w:ascii="Arial" w:eastAsia="Arial" w:hAnsi="Arial" w:cs="Arial"/>
          <w:sz w:val="20"/>
          <w:szCs w:val="20"/>
        </w:rPr>
      </w:pPr>
    </w:p>
    <w:p w14:paraId="6B13437B" w14:textId="77777777" w:rsidR="009445DE" w:rsidRPr="009445DE" w:rsidRDefault="009445DE" w:rsidP="00744FB6">
      <w:pPr>
        <w:spacing w:line="276" w:lineRule="auto"/>
        <w:ind w:firstLine="708"/>
        <w:jc w:val="both"/>
        <w:rPr>
          <w:rFonts w:ascii="Arial" w:eastAsia="Arial" w:hAnsi="Arial" w:cs="Arial"/>
          <w:sz w:val="20"/>
          <w:szCs w:val="20"/>
        </w:rPr>
      </w:pPr>
      <w:r w:rsidRPr="009445DE">
        <w:rPr>
          <w:rFonts w:ascii="Arial" w:eastAsia="Arial" w:hAnsi="Arial" w:cs="Arial"/>
          <w:sz w:val="20"/>
          <w:szCs w:val="20"/>
        </w:rPr>
        <w:t>Durante 2025, INFOR fortaleció el trabajo con comunidades rurales mediante sistemas agroforestales y obras de conservación de agua y suelo, especialmente junto con organizaciones de mujeres de Canela.</w:t>
      </w:r>
    </w:p>
    <w:p w14:paraId="1FD003F5" w14:textId="1E4C6244" w:rsidR="00924D64" w:rsidRDefault="009445DE" w:rsidP="00744FB6">
      <w:pPr>
        <w:spacing w:line="276" w:lineRule="auto"/>
        <w:ind w:firstLine="360"/>
        <w:jc w:val="both"/>
        <w:rPr>
          <w:rFonts w:ascii="Arial" w:eastAsia="Arial" w:hAnsi="Arial" w:cs="Arial"/>
          <w:sz w:val="20"/>
          <w:szCs w:val="20"/>
        </w:rPr>
      </w:pPr>
      <w:r w:rsidRPr="009445DE">
        <w:rPr>
          <w:rFonts w:ascii="Arial" w:eastAsia="Arial" w:hAnsi="Arial" w:cs="Arial"/>
          <w:sz w:val="20"/>
          <w:szCs w:val="20"/>
        </w:rPr>
        <w:t>También desarrolló investigaciones sobre restauración de ecosistemas nativos y formaciones xerofíticas. En La Higuera se establecieron huertos forrajeros agroforestales con 750 plantas, beneficiando a 15 familias crianceras. Asimismo, el Centro de Rescate de Cactáceas continuó resguardando más de 1.100 ejemplares repatriados y decomisados.</w:t>
      </w:r>
    </w:p>
    <w:p w14:paraId="2863B049" w14:textId="77777777" w:rsidR="00774822" w:rsidRDefault="00774822" w:rsidP="00744FB6">
      <w:pPr>
        <w:spacing w:line="276" w:lineRule="auto"/>
        <w:jc w:val="both"/>
        <w:rPr>
          <w:rFonts w:ascii="Arial" w:eastAsia="Arial" w:hAnsi="Arial" w:cs="Arial"/>
          <w:sz w:val="20"/>
          <w:szCs w:val="20"/>
        </w:rPr>
      </w:pPr>
    </w:p>
    <w:p w14:paraId="16415784" w14:textId="2D8E6C64" w:rsidR="00774822" w:rsidRPr="00774822" w:rsidRDefault="00774822" w:rsidP="00744FB6">
      <w:pPr>
        <w:pStyle w:val="Prrafodelista"/>
        <w:numPr>
          <w:ilvl w:val="0"/>
          <w:numId w:val="5"/>
        </w:numPr>
        <w:spacing w:line="276" w:lineRule="auto"/>
        <w:jc w:val="both"/>
        <w:rPr>
          <w:rFonts w:ascii="Arial" w:eastAsia="Arial" w:hAnsi="Arial" w:cs="Arial"/>
          <w:b/>
          <w:bCs/>
          <w:sz w:val="20"/>
          <w:szCs w:val="20"/>
        </w:rPr>
      </w:pPr>
      <w:r w:rsidRPr="00774822">
        <w:rPr>
          <w:rFonts w:ascii="Arial" w:eastAsia="Arial" w:hAnsi="Arial" w:cs="Arial"/>
          <w:b/>
          <w:bCs/>
          <w:sz w:val="20"/>
          <w:szCs w:val="20"/>
        </w:rPr>
        <w:t>Deportes</w:t>
      </w:r>
    </w:p>
    <w:p w14:paraId="1EE1949F" w14:textId="77777777" w:rsidR="00924D64" w:rsidRPr="00092385" w:rsidRDefault="00924D64" w:rsidP="00744FB6">
      <w:pPr>
        <w:spacing w:line="276" w:lineRule="auto"/>
        <w:ind w:firstLine="360"/>
        <w:jc w:val="both"/>
        <w:rPr>
          <w:rFonts w:ascii="Arial" w:eastAsia="Arial" w:hAnsi="Arial" w:cs="Arial"/>
          <w:sz w:val="20"/>
          <w:szCs w:val="20"/>
        </w:rPr>
      </w:pPr>
    </w:p>
    <w:p w14:paraId="79161F30" w14:textId="77777777" w:rsidR="00092385" w:rsidRPr="00092385" w:rsidRDefault="00092385" w:rsidP="00744FB6">
      <w:pPr>
        <w:spacing w:line="276" w:lineRule="auto"/>
        <w:ind w:firstLine="360"/>
        <w:jc w:val="both"/>
        <w:rPr>
          <w:rFonts w:ascii="Arial" w:eastAsia="Arial" w:hAnsi="Arial" w:cs="Arial"/>
          <w:sz w:val="20"/>
          <w:szCs w:val="20"/>
        </w:rPr>
      </w:pPr>
      <w:r w:rsidRPr="00092385">
        <w:rPr>
          <w:rFonts w:ascii="Arial" w:eastAsia="Arial" w:hAnsi="Arial" w:cs="Arial"/>
          <w:sz w:val="20"/>
          <w:szCs w:val="20"/>
        </w:rPr>
        <w:t>Durante 2025, el Fondo Nacional para el Fomento del Deporte, FONDEPORTE, recibió 216 postulaciones en la Región de Coquimbo, provenientes de once comunas. Fueron aprobados 31 proyectos, equivalentes a una tasa de selección de 14,4%. Ovalle, Coquimbo y La Serena concentraron la mayor cantidad de iniciativas, mientras Canela destacó por su alta participación de organizaciones deportivas comunitarias.</w:t>
      </w:r>
    </w:p>
    <w:p w14:paraId="7659480C" w14:textId="77777777" w:rsidR="00092385" w:rsidRPr="00092385" w:rsidRDefault="00092385" w:rsidP="00744FB6">
      <w:pPr>
        <w:spacing w:line="276" w:lineRule="auto"/>
        <w:ind w:firstLine="360"/>
        <w:jc w:val="both"/>
        <w:rPr>
          <w:rFonts w:ascii="Arial" w:eastAsia="Arial" w:hAnsi="Arial" w:cs="Arial"/>
          <w:sz w:val="20"/>
          <w:szCs w:val="20"/>
        </w:rPr>
      </w:pPr>
      <w:r w:rsidRPr="00092385">
        <w:rPr>
          <w:rFonts w:ascii="Arial" w:eastAsia="Arial" w:hAnsi="Arial" w:cs="Arial"/>
          <w:sz w:val="20"/>
          <w:szCs w:val="20"/>
        </w:rPr>
        <w:t xml:space="preserve">La cartera regional de infraestructura deportiva reunió 29 proyectos de conservación, mejoramiento y equipamiento, por más de $8.332 millones. De ellos, 25 se encontraban terminados y dos en ejecución, incluyendo intervenciones en complejos deportivos, gimnasios, </w:t>
      </w:r>
      <w:proofErr w:type="spellStart"/>
      <w:r w:rsidRPr="00092385">
        <w:rPr>
          <w:rFonts w:ascii="Arial" w:eastAsia="Arial" w:hAnsi="Arial" w:cs="Arial"/>
          <w:sz w:val="20"/>
          <w:szCs w:val="20"/>
        </w:rPr>
        <w:t>multicanchas</w:t>
      </w:r>
      <w:proofErr w:type="spellEnd"/>
      <w:r w:rsidRPr="00092385">
        <w:rPr>
          <w:rFonts w:ascii="Arial" w:eastAsia="Arial" w:hAnsi="Arial" w:cs="Arial"/>
          <w:sz w:val="20"/>
          <w:szCs w:val="20"/>
        </w:rPr>
        <w:t xml:space="preserve"> y recintos CENDYR.</w:t>
      </w:r>
    </w:p>
    <w:p w14:paraId="2EF536AE" w14:textId="77777777" w:rsidR="00092385" w:rsidRPr="00092385" w:rsidRDefault="00092385" w:rsidP="00744FB6">
      <w:pPr>
        <w:spacing w:line="276" w:lineRule="auto"/>
        <w:ind w:firstLine="360"/>
        <w:jc w:val="both"/>
        <w:rPr>
          <w:rFonts w:ascii="Arial" w:eastAsia="Arial" w:hAnsi="Arial" w:cs="Arial"/>
          <w:sz w:val="20"/>
          <w:szCs w:val="20"/>
        </w:rPr>
      </w:pPr>
      <w:r w:rsidRPr="00092385">
        <w:rPr>
          <w:rFonts w:ascii="Arial" w:eastAsia="Arial" w:hAnsi="Arial" w:cs="Arial"/>
          <w:sz w:val="20"/>
          <w:szCs w:val="20"/>
        </w:rPr>
        <w:t>Asimismo, durante 2025 se ejecutaron 372 talleres de los programas Crecer en Movimiento y Deporte para la Salud, orientados a niños, niñas, jóvenes, mujeres, personas mayores y personas con discapacidad. Estas iniciativas complementaron el trabajo territorial desarrollado con clubes, municipios y organizaciones sociales.</w:t>
      </w:r>
    </w:p>
    <w:p w14:paraId="103F8249" w14:textId="6FB6002C" w:rsidR="00092385" w:rsidRDefault="00BB3CA1" w:rsidP="00744FB6">
      <w:pPr>
        <w:spacing w:line="276" w:lineRule="auto"/>
        <w:jc w:val="both"/>
        <w:rPr>
          <w:rFonts w:ascii="Arial" w:eastAsia="Arial" w:hAnsi="Arial" w:cs="Arial"/>
          <w:sz w:val="20"/>
          <w:szCs w:val="20"/>
        </w:rPr>
      </w:pPr>
      <w:r>
        <w:rPr>
          <w:rFonts w:ascii="Arial" w:eastAsia="Arial" w:hAnsi="Arial" w:cs="Arial"/>
          <w:sz w:val="20"/>
          <w:szCs w:val="20"/>
        </w:rPr>
        <w:t xml:space="preserve"> </w:t>
      </w:r>
    </w:p>
    <w:p w14:paraId="5BAAF111" w14:textId="53515203" w:rsidR="00BB3CA1" w:rsidRPr="00ED63CA" w:rsidRDefault="00BB3CA1" w:rsidP="00744FB6">
      <w:pPr>
        <w:pStyle w:val="Prrafodelista"/>
        <w:numPr>
          <w:ilvl w:val="0"/>
          <w:numId w:val="5"/>
        </w:numPr>
        <w:spacing w:line="276" w:lineRule="auto"/>
        <w:jc w:val="both"/>
        <w:rPr>
          <w:rFonts w:ascii="Arial" w:eastAsia="Arial" w:hAnsi="Arial" w:cs="Arial"/>
          <w:b/>
          <w:bCs/>
          <w:sz w:val="20"/>
          <w:szCs w:val="20"/>
        </w:rPr>
      </w:pPr>
      <w:r w:rsidRPr="00ED63CA">
        <w:rPr>
          <w:rFonts w:ascii="Arial" w:eastAsia="Arial" w:hAnsi="Arial" w:cs="Arial"/>
          <w:b/>
          <w:bCs/>
          <w:sz w:val="20"/>
          <w:szCs w:val="20"/>
        </w:rPr>
        <w:t xml:space="preserve">Energía </w:t>
      </w:r>
    </w:p>
    <w:p w14:paraId="0B661EE0" w14:textId="378A1D6E" w:rsidR="00ED63CA" w:rsidRPr="00ED63CA" w:rsidRDefault="00ED63CA" w:rsidP="00744FB6">
      <w:pPr>
        <w:spacing w:line="276" w:lineRule="auto"/>
        <w:ind w:firstLine="360"/>
        <w:jc w:val="both"/>
        <w:rPr>
          <w:rFonts w:ascii="Arial" w:eastAsia="Arial" w:hAnsi="Arial" w:cs="Arial"/>
          <w:sz w:val="20"/>
          <w:szCs w:val="20"/>
        </w:rPr>
      </w:pPr>
      <w:r w:rsidRPr="00ED63CA">
        <w:rPr>
          <w:rFonts w:ascii="Arial" w:eastAsia="Arial" w:hAnsi="Arial" w:cs="Arial"/>
          <w:sz w:val="20"/>
          <w:szCs w:val="20"/>
        </w:rPr>
        <w:t>Durante 2025, la Seremi de Energía actualizó el Mapa de Vulnerabilidad Energética en las quince comunas, identificando 8.622 viviendas sin suministro eléctrico, antecedente clave para orientar futuros proyectos de electrificación rural y regularización del acceso a la energía.</w:t>
      </w:r>
    </w:p>
    <w:p w14:paraId="1181C937" w14:textId="36378106" w:rsidR="00ED63CA" w:rsidRPr="00ED63CA" w:rsidRDefault="00ED63CA" w:rsidP="00744FB6">
      <w:pPr>
        <w:spacing w:line="276" w:lineRule="auto"/>
        <w:ind w:firstLine="360"/>
        <w:jc w:val="both"/>
        <w:rPr>
          <w:rFonts w:ascii="Arial" w:eastAsia="Arial" w:hAnsi="Arial" w:cs="Arial"/>
          <w:sz w:val="20"/>
          <w:szCs w:val="20"/>
        </w:rPr>
      </w:pPr>
      <w:r w:rsidRPr="00ED63CA">
        <w:rPr>
          <w:rFonts w:ascii="Arial" w:eastAsia="Arial" w:hAnsi="Arial" w:cs="Arial"/>
          <w:sz w:val="20"/>
          <w:szCs w:val="20"/>
        </w:rPr>
        <w:t xml:space="preserve">En materia de protección social, el Subsidio Eléctrico benefició acumuladamente a 84.906 hogares, incluyendo a 540 personas electrodependientes. Además, se distribuyeron 136 kits de resiliencia energética en ocho comunas y se adjudicaron proyectos de Agua Rural Solar en Vicuña y La Higuera, con una inversión superior a $154 millones y 117 </w:t>
      </w:r>
      <w:proofErr w:type="spellStart"/>
      <w:r w:rsidRPr="00ED63CA">
        <w:rPr>
          <w:rFonts w:ascii="Arial" w:eastAsia="Arial" w:hAnsi="Arial" w:cs="Arial"/>
          <w:sz w:val="20"/>
          <w:szCs w:val="20"/>
        </w:rPr>
        <w:t>kWp</w:t>
      </w:r>
      <w:proofErr w:type="spellEnd"/>
      <w:r w:rsidRPr="00ED63CA">
        <w:rPr>
          <w:rFonts w:ascii="Arial" w:eastAsia="Arial" w:hAnsi="Arial" w:cs="Arial"/>
          <w:sz w:val="20"/>
          <w:szCs w:val="20"/>
        </w:rPr>
        <w:t xml:space="preserve"> de potencia proyectada.</w:t>
      </w:r>
    </w:p>
    <w:p w14:paraId="3B110CC9" w14:textId="77777777" w:rsidR="00ED63CA" w:rsidRPr="00ED63CA" w:rsidRDefault="00ED63CA" w:rsidP="00744FB6">
      <w:pPr>
        <w:spacing w:line="276" w:lineRule="auto"/>
        <w:ind w:firstLine="360"/>
        <w:jc w:val="both"/>
        <w:rPr>
          <w:rFonts w:ascii="Arial" w:eastAsia="Arial" w:hAnsi="Arial" w:cs="Arial"/>
          <w:sz w:val="20"/>
          <w:szCs w:val="20"/>
        </w:rPr>
      </w:pPr>
      <w:r w:rsidRPr="00ED63CA">
        <w:rPr>
          <w:rFonts w:ascii="Arial" w:eastAsia="Arial" w:hAnsi="Arial" w:cs="Arial"/>
          <w:sz w:val="20"/>
          <w:szCs w:val="20"/>
        </w:rPr>
        <w:t>Entre las iniciativas de transición energética destacó el Parque Solar Comunitario de Vicuña, con una inversión de $280 millones, que beneficiará a 200 personas mayores y permitirá generar ahorros estimados en $75 millones anuales. También se adjudicó el proyecto de movilidad con hidrógeno verde KH2 por $206 millones y avanzó la formalización de Mi Taxi Eléctrico, que contempla el recambio de 125 vehículos y una inversión de $3.078 millones.</w:t>
      </w:r>
    </w:p>
    <w:p w14:paraId="7CD2ACC0" w14:textId="63C66C97" w:rsidR="00FB0A20" w:rsidRDefault="00ED63CA" w:rsidP="005D4FAF">
      <w:pPr>
        <w:spacing w:line="276" w:lineRule="auto"/>
        <w:ind w:firstLine="360"/>
        <w:jc w:val="both"/>
        <w:rPr>
          <w:rFonts w:ascii="Arial" w:eastAsia="Arial" w:hAnsi="Arial" w:cs="Arial"/>
          <w:sz w:val="20"/>
          <w:szCs w:val="20"/>
        </w:rPr>
      </w:pPr>
      <w:r w:rsidRPr="00ED63CA">
        <w:rPr>
          <w:rFonts w:ascii="Arial" w:eastAsia="Arial" w:hAnsi="Arial" w:cs="Arial"/>
          <w:sz w:val="20"/>
          <w:szCs w:val="20"/>
        </w:rPr>
        <w:t>Asimismo, seis proyectos renovables iniciaron operaciones durante el período 2025-2026, incorporando 99 MW de capacidad y una inversión estimada de US$160,5 millones. Otros ocho proyectos fueron aprobados ambientalmente, con inversiones por US$945,8 millones y una capacidad conjunta de 724,7 MW.</w:t>
      </w:r>
    </w:p>
    <w:p w14:paraId="11C4D255" w14:textId="77777777" w:rsidR="007A3B12" w:rsidRDefault="007A3B12" w:rsidP="005D4FAF">
      <w:pPr>
        <w:spacing w:line="276" w:lineRule="auto"/>
        <w:ind w:firstLine="360"/>
        <w:jc w:val="both"/>
        <w:rPr>
          <w:rFonts w:ascii="Arial" w:eastAsia="Arial" w:hAnsi="Arial" w:cs="Arial"/>
          <w:sz w:val="20"/>
          <w:szCs w:val="20"/>
        </w:rPr>
      </w:pPr>
    </w:p>
    <w:p w14:paraId="2D5C8645" w14:textId="77777777" w:rsidR="007A3B12" w:rsidRDefault="007A3B12" w:rsidP="005D4FAF">
      <w:pPr>
        <w:spacing w:line="276" w:lineRule="auto"/>
        <w:ind w:firstLine="360"/>
        <w:jc w:val="both"/>
        <w:rPr>
          <w:rFonts w:ascii="Arial" w:eastAsia="Arial" w:hAnsi="Arial" w:cs="Arial"/>
          <w:sz w:val="20"/>
          <w:szCs w:val="20"/>
        </w:rPr>
      </w:pPr>
    </w:p>
    <w:p w14:paraId="4A749A46" w14:textId="77777777" w:rsidR="007A3B12" w:rsidRDefault="007A3B12" w:rsidP="005D4FAF">
      <w:pPr>
        <w:spacing w:line="276" w:lineRule="auto"/>
        <w:ind w:firstLine="360"/>
        <w:jc w:val="both"/>
        <w:rPr>
          <w:rFonts w:ascii="Arial" w:eastAsia="Arial" w:hAnsi="Arial" w:cs="Arial"/>
          <w:sz w:val="20"/>
          <w:szCs w:val="20"/>
        </w:rPr>
      </w:pPr>
    </w:p>
    <w:p w14:paraId="555BF59C" w14:textId="77777777" w:rsidR="007E2AF7" w:rsidRDefault="007E2AF7" w:rsidP="00744FB6">
      <w:pPr>
        <w:spacing w:line="276" w:lineRule="auto"/>
        <w:jc w:val="both"/>
        <w:rPr>
          <w:rFonts w:ascii="Arial" w:eastAsia="Arial" w:hAnsi="Arial" w:cs="Arial"/>
          <w:sz w:val="20"/>
          <w:szCs w:val="20"/>
        </w:rPr>
      </w:pPr>
    </w:p>
    <w:p w14:paraId="622DBA98" w14:textId="77777777" w:rsidR="007A3B12" w:rsidRDefault="007A3B12" w:rsidP="00744FB6">
      <w:pPr>
        <w:spacing w:line="276" w:lineRule="auto"/>
        <w:jc w:val="both"/>
        <w:rPr>
          <w:rFonts w:ascii="Arial" w:eastAsia="Arial" w:hAnsi="Arial" w:cs="Arial"/>
          <w:sz w:val="20"/>
          <w:szCs w:val="20"/>
        </w:rPr>
      </w:pPr>
    </w:p>
    <w:p w14:paraId="6474FAB0" w14:textId="77777777" w:rsidR="007A3B12" w:rsidRDefault="007A3B12" w:rsidP="00744FB6">
      <w:pPr>
        <w:spacing w:line="276" w:lineRule="auto"/>
        <w:jc w:val="both"/>
        <w:rPr>
          <w:rFonts w:ascii="Arial" w:eastAsia="Arial" w:hAnsi="Arial" w:cs="Arial"/>
          <w:sz w:val="20"/>
          <w:szCs w:val="20"/>
        </w:rPr>
      </w:pPr>
    </w:p>
    <w:p w14:paraId="12D3C336" w14:textId="77777777" w:rsidR="007A3B12" w:rsidRDefault="007A3B12" w:rsidP="00744FB6">
      <w:pPr>
        <w:spacing w:line="276" w:lineRule="auto"/>
        <w:jc w:val="both"/>
        <w:rPr>
          <w:rFonts w:ascii="Arial" w:eastAsia="Arial" w:hAnsi="Arial" w:cs="Arial"/>
          <w:sz w:val="20"/>
          <w:szCs w:val="20"/>
        </w:rPr>
      </w:pPr>
    </w:p>
    <w:p w14:paraId="0C1D92AA" w14:textId="104EB0B2" w:rsidR="00FB0A20" w:rsidRDefault="00FB0A20" w:rsidP="00744FB6">
      <w:pPr>
        <w:pStyle w:val="Prrafodelista"/>
        <w:numPr>
          <w:ilvl w:val="0"/>
          <w:numId w:val="5"/>
        </w:numPr>
        <w:spacing w:line="276" w:lineRule="auto"/>
        <w:jc w:val="both"/>
        <w:rPr>
          <w:rFonts w:ascii="Arial" w:eastAsia="Arial" w:hAnsi="Arial" w:cs="Arial"/>
          <w:b/>
          <w:bCs/>
          <w:sz w:val="20"/>
          <w:szCs w:val="20"/>
        </w:rPr>
      </w:pPr>
      <w:r w:rsidRPr="00FB0A20">
        <w:rPr>
          <w:rFonts w:ascii="Arial" w:eastAsia="Arial" w:hAnsi="Arial" w:cs="Arial"/>
          <w:b/>
          <w:bCs/>
          <w:sz w:val="20"/>
          <w:szCs w:val="20"/>
        </w:rPr>
        <w:lastRenderedPageBreak/>
        <w:t xml:space="preserve">Gobierno </w:t>
      </w:r>
    </w:p>
    <w:p w14:paraId="0EB742B6" w14:textId="77777777" w:rsidR="007E2AF7" w:rsidRPr="00FB0A20" w:rsidRDefault="007E2AF7" w:rsidP="00744FB6">
      <w:pPr>
        <w:pStyle w:val="Prrafodelista"/>
        <w:spacing w:line="276" w:lineRule="auto"/>
        <w:jc w:val="both"/>
        <w:rPr>
          <w:rFonts w:ascii="Arial" w:eastAsia="Arial" w:hAnsi="Arial" w:cs="Arial"/>
          <w:b/>
          <w:bCs/>
          <w:sz w:val="20"/>
          <w:szCs w:val="20"/>
        </w:rPr>
      </w:pPr>
    </w:p>
    <w:p w14:paraId="309F3821" w14:textId="77777777" w:rsidR="00905AEC" w:rsidRPr="00905AEC"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 xml:space="preserve">Durante 2025, la División de Organizaciones Sociales fortaleció la participación ciudadana mediante 43 Escuelas de Formación Social, 22 diálogos ciudadanos y 60 actividades del programa </w:t>
      </w:r>
      <w:proofErr w:type="spellStart"/>
      <w:r w:rsidRPr="00905AEC">
        <w:rPr>
          <w:rFonts w:ascii="Arial" w:eastAsia="Arial" w:hAnsi="Arial" w:cs="Arial"/>
          <w:sz w:val="20"/>
          <w:szCs w:val="20"/>
        </w:rPr>
        <w:t>MovilizaDOS</w:t>
      </w:r>
      <w:proofErr w:type="spellEnd"/>
      <w:r w:rsidRPr="00905AEC">
        <w:rPr>
          <w:rFonts w:ascii="Arial" w:eastAsia="Arial" w:hAnsi="Arial" w:cs="Arial"/>
          <w:sz w:val="20"/>
          <w:szCs w:val="20"/>
        </w:rPr>
        <w:t>, alcanzando a 7.341 personas y más de 500 organizaciones sociales, con presencia en las quince comunas de la Región de Coquimbo.</w:t>
      </w:r>
    </w:p>
    <w:p w14:paraId="15B5F27A" w14:textId="77777777" w:rsidR="00905AEC" w:rsidRPr="00905AEC"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El Fondo de Fortalecimiento de las Organizaciones de Interés Público recibió 167 postulaciones y financió 44 proyectos por cerca de $90 millones. Del total adjudicado, 35 correspondieron a iniciativas locales, dos a proyectos regionales y siete a acciones enfocadas en niñez.</w:t>
      </w:r>
    </w:p>
    <w:p w14:paraId="7BFCF73C" w14:textId="77777777" w:rsidR="00905AEC" w:rsidRPr="00905AEC"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La provincia de Elqui concentró 23 proyectos por más de $46 millones; Choapa, once iniciativas por cerca de $22 millones; y Limarí, diez proyectos por más de $21 millones. Estos recursos permitieron fortalecer el trabajo comunitario y territorial de organizaciones sociales de las tres provincias.</w:t>
      </w:r>
    </w:p>
    <w:p w14:paraId="1AE2331F" w14:textId="77777777" w:rsidR="00905AEC" w:rsidRPr="00905AEC"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Por su parte, el Fondo de Fomento de Medios de Comunicación Social destinó $178,5 millones a 41 proyectos de carácter regional, provincial y comunal, promoviendo la generación y difusión de contenidos locales.</w:t>
      </w:r>
    </w:p>
    <w:p w14:paraId="2D39F6A7" w14:textId="77777777" w:rsidR="00905AEC" w:rsidRPr="00905AEC"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La gestión también acercó información sobre políticas públicas y derechos sociales a los territorios, mediante la difusión de la reforma de pensiones, la Ley de 40 Horas, la Ley Karin y la Ley de Pago Efectivo de Pensiones de Alimentos.</w:t>
      </w:r>
    </w:p>
    <w:p w14:paraId="69BB6543" w14:textId="69468C51" w:rsidR="009F0B8E" w:rsidRDefault="00905AEC" w:rsidP="00744FB6">
      <w:pPr>
        <w:spacing w:line="276" w:lineRule="auto"/>
        <w:ind w:firstLine="360"/>
        <w:jc w:val="both"/>
        <w:rPr>
          <w:rFonts w:ascii="Arial" w:eastAsia="Arial" w:hAnsi="Arial" w:cs="Arial"/>
          <w:sz w:val="20"/>
          <w:szCs w:val="20"/>
        </w:rPr>
      </w:pPr>
      <w:r w:rsidRPr="00905AEC">
        <w:rPr>
          <w:rFonts w:ascii="Arial" w:eastAsia="Arial" w:hAnsi="Arial" w:cs="Arial"/>
          <w:sz w:val="20"/>
          <w:szCs w:val="20"/>
        </w:rPr>
        <w:t>Asimismo, la Seremi coordinó la Mesa de Internacionalización, instancia que permitió retomar las reuniones binacionales con la provincia argentina de San Juan y apoyar las gestiones vinculadas con el tránsito y las actividades productivas a través del Paso Agua Negra.</w:t>
      </w:r>
    </w:p>
    <w:p w14:paraId="719BCC2C" w14:textId="77777777" w:rsidR="00101E3D" w:rsidRDefault="00101E3D" w:rsidP="00744FB6">
      <w:pPr>
        <w:spacing w:line="276" w:lineRule="auto"/>
        <w:jc w:val="both"/>
        <w:rPr>
          <w:rFonts w:ascii="Arial" w:eastAsia="Arial" w:hAnsi="Arial" w:cs="Arial"/>
          <w:sz w:val="20"/>
          <w:szCs w:val="20"/>
        </w:rPr>
      </w:pPr>
    </w:p>
    <w:p w14:paraId="317C7B68" w14:textId="05E78810" w:rsidR="00924D64" w:rsidRDefault="001B4DD4" w:rsidP="00744FB6">
      <w:pPr>
        <w:pStyle w:val="Prrafodelista"/>
        <w:numPr>
          <w:ilvl w:val="0"/>
          <w:numId w:val="5"/>
        </w:numPr>
        <w:spacing w:line="276" w:lineRule="auto"/>
        <w:jc w:val="both"/>
        <w:rPr>
          <w:rFonts w:ascii="Arial" w:eastAsia="Arial" w:hAnsi="Arial" w:cs="Arial"/>
          <w:b/>
          <w:bCs/>
          <w:sz w:val="20"/>
          <w:szCs w:val="20"/>
        </w:rPr>
      </w:pPr>
      <w:r w:rsidRPr="00455A0C">
        <w:rPr>
          <w:rFonts w:ascii="Arial" w:eastAsia="Arial" w:hAnsi="Arial" w:cs="Arial"/>
          <w:b/>
          <w:bCs/>
          <w:sz w:val="20"/>
          <w:szCs w:val="20"/>
        </w:rPr>
        <w:t>Transportes y Telecomunicaciones</w:t>
      </w:r>
    </w:p>
    <w:p w14:paraId="44A91EAB" w14:textId="77777777" w:rsidR="00101E3D" w:rsidRPr="00455A0C" w:rsidRDefault="00101E3D" w:rsidP="00744FB6">
      <w:pPr>
        <w:pStyle w:val="Prrafodelista"/>
        <w:spacing w:line="276" w:lineRule="auto"/>
        <w:jc w:val="both"/>
        <w:rPr>
          <w:rFonts w:ascii="Arial" w:eastAsia="Arial" w:hAnsi="Arial" w:cs="Arial"/>
          <w:b/>
          <w:bCs/>
          <w:sz w:val="20"/>
          <w:szCs w:val="20"/>
        </w:rPr>
      </w:pPr>
    </w:p>
    <w:p w14:paraId="076BF0CD" w14:textId="77777777" w:rsidR="00DB159D" w:rsidRPr="00DB159D" w:rsidRDefault="00DB159D" w:rsidP="00744FB6">
      <w:pPr>
        <w:spacing w:line="276" w:lineRule="auto"/>
        <w:ind w:firstLine="360"/>
        <w:jc w:val="both"/>
        <w:rPr>
          <w:rFonts w:ascii="Arial" w:eastAsia="Arial" w:hAnsi="Arial" w:cs="Arial"/>
          <w:sz w:val="20"/>
          <w:szCs w:val="20"/>
        </w:rPr>
      </w:pPr>
      <w:r w:rsidRPr="00DB159D">
        <w:rPr>
          <w:rFonts w:ascii="Arial" w:eastAsia="Arial" w:hAnsi="Arial" w:cs="Arial"/>
          <w:sz w:val="20"/>
          <w:szCs w:val="20"/>
        </w:rPr>
        <w:t>Durante 2025, el Ministerio de Transportes y Telecomunicaciones destinó más de $13.570 millones de la Ley de Subsidio al Transporte Público en la Región de Coquimbo. Estos recursos permitieron financiar 102 servicios para zonas aisladas y rurales, beneficiando a más de 160 mil personas, y 17 recorridos de transporte escolar gratuito para 1.282 estudiantes.</w:t>
      </w:r>
    </w:p>
    <w:p w14:paraId="026C0C90" w14:textId="77777777" w:rsidR="00DB159D" w:rsidRPr="00DB159D" w:rsidRDefault="00DB159D" w:rsidP="00744FB6">
      <w:pPr>
        <w:spacing w:line="276" w:lineRule="auto"/>
        <w:ind w:firstLine="360"/>
        <w:jc w:val="both"/>
        <w:rPr>
          <w:rFonts w:ascii="Arial" w:eastAsia="Arial" w:hAnsi="Arial" w:cs="Arial"/>
          <w:sz w:val="20"/>
          <w:szCs w:val="20"/>
        </w:rPr>
      </w:pPr>
      <w:r w:rsidRPr="00DB159D">
        <w:rPr>
          <w:rFonts w:ascii="Arial" w:eastAsia="Arial" w:hAnsi="Arial" w:cs="Arial"/>
          <w:sz w:val="20"/>
          <w:szCs w:val="20"/>
        </w:rPr>
        <w:t>En noviembre de 2025 se cumplió el primer año de funcionamiento de los 42 buses eléctricos de La Serena y Coquimbo, los que completaron más de 1,7 millones de viajes de pasajeros. La totalidad de la flota original se mantuvo operativa, con una alta valoración de las personas usuarias por su comodidad y por la implementación del pago completamente electrónico.</w:t>
      </w:r>
    </w:p>
    <w:p w14:paraId="2B61BF00" w14:textId="77777777" w:rsidR="00DB159D" w:rsidRPr="00DB159D" w:rsidRDefault="00DB159D" w:rsidP="00744FB6">
      <w:pPr>
        <w:spacing w:line="276" w:lineRule="auto"/>
        <w:ind w:firstLine="360"/>
        <w:jc w:val="both"/>
        <w:rPr>
          <w:rFonts w:ascii="Arial" w:eastAsia="Arial" w:hAnsi="Arial" w:cs="Arial"/>
          <w:sz w:val="20"/>
          <w:szCs w:val="20"/>
        </w:rPr>
      </w:pPr>
      <w:r w:rsidRPr="00DB159D">
        <w:rPr>
          <w:rFonts w:ascii="Arial" w:eastAsia="Arial" w:hAnsi="Arial" w:cs="Arial"/>
          <w:sz w:val="20"/>
          <w:szCs w:val="20"/>
        </w:rPr>
        <w:t>Los programas de renovación del transporte público permitieron modernizar 228 vehículos del transporte menor y 56 microbuses, con una inversión conjunta superior a $2.919 millones. Estas iniciativas contribuyeron a mejorar la calidad, seguridad, eficiencia y sostenibilidad del sistema de movilidad regional.</w:t>
      </w:r>
    </w:p>
    <w:p w14:paraId="0FDB504F" w14:textId="77777777" w:rsidR="00DB159D" w:rsidRPr="00DB159D" w:rsidRDefault="00DB159D" w:rsidP="00744FB6">
      <w:pPr>
        <w:spacing w:line="276" w:lineRule="auto"/>
        <w:ind w:firstLine="360"/>
        <w:jc w:val="both"/>
        <w:rPr>
          <w:rFonts w:ascii="Arial" w:eastAsia="Arial" w:hAnsi="Arial" w:cs="Arial"/>
          <w:sz w:val="20"/>
          <w:szCs w:val="20"/>
        </w:rPr>
      </w:pPr>
      <w:r w:rsidRPr="00DB159D">
        <w:rPr>
          <w:rFonts w:ascii="Arial" w:eastAsia="Arial" w:hAnsi="Arial" w:cs="Arial"/>
          <w:sz w:val="20"/>
          <w:szCs w:val="20"/>
        </w:rPr>
        <w:t>Asimismo, el subsidio de rebaja tarifaria alcanzó a 1.071 buses y permitió que más de 74 mil estudiantes pagaran el 33% de la tarifa adulta. También se mantuvo la rebaja del 50% para las personas mayores.</w:t>
      </w:r>
    </w:p>
    <w:p w14:paraId="0304FD75" w14:textId="25FA93AB" w:rsidR="00EC6C11" w:rsidRDefault="00DB159D" w:rsidP="00744FB6">
      <w:pPr>
        <w:spacing w:line="276" w:lineRule="auto"/>
        <w:ind w:firstLine="360"/>
        <w:jc w:val="both"/>
        <w:rPr>
          <w:rFonts w:ascii="Arial" w:eastAsia="Arial" w:hAnsi="Arial" w:cs="Arial"/>
          <w:sz w:val="20"/>
          <w:szCs w:val="20"/>
        </w:rPr>
      </w:pPr>
      <w:r w:rsidRPr="00DB159D">
        <w:rPr>
          <w:rFonts w:ascii="Arial" w:eastAsia="Arial" w:hAnsi="Arial" w:cs="Arial"/>
          <w:sz w:val="20"/>
          <w:szCs w:val="20"/>
        </w:rPr>
        <w:t>En gestión de tránsito se normalizaron e integraron 14 intersecciones semaforizadas al centro regional de control, elevando al 83% la cobertura en la conurbación La Serena-Coquimbo. También se efectuaron 18.700 controles y se cursaron 2.995 infracciones.</w:t>
      </w:r>
    </w:p>
    <w:p w14:paraId="4A3942E1" w14:textId="77777777" w:rsidR="002E1A2F" w:rsidRDefault="002E1A2F" w:rsidP="00744FB6">
      <w:pPr>
        <w:spacing w:line="276" w:lineRule="auto"/>
        <w:ind w:firstLine="360"/>
        <w:jc w:val="both"/>
        <w:rPr>
          <w:rFonts w:ascii="Arial" w:eastAsia="Arial" w:hAnsi="Arial" w:cs="Arial"/>
          <w:sz w:val="20"/>
          <w:szCs w:val="20"/>
        </w:rPr>
      </w:pPr>
    </w:p>
    <w:p w14:paraId="30F48AE9" w14:textId="77777777" w:rsidR="002E1A2F" w:rsidRDefault="002E1A2F" w:rsidP="00744FB6">
      <w:pPr>
        <w:spacing w:line="276" w:lineRule="auto"/>
        <w:ind w:firstLine="360"/>
        <w:jc w:val="both"/>
        <w:rPr>
          <w:rFonts w:ascii="Arial" w:eastAsia="Arial" w:hAnsi="Arial" w:cs="Arial"/>
          <w:sz w:val="20"/>
          <w:szCs w:val="20"/>
        </w:rPr>
      </w:pPr>
    </w:p>
    <w:p w14:paraId="011DE41D" w14:textId="77777777" w:rsidR="002E1A2F" w:rsidRDefault="002E1A2F" w:rsidP="00744FB6">
      <w:pPr>
        <w:spacing w:line="276" w:lineRule="auto"/>
        <w:ind w:firstLine="360"/>
        <w:jc w:val="both"/>
        <w:rPr>
          <w:rFonts w:ascii="Arial" w:eastAsia="Arial" w:hAnsi="Arial" w:cs="Arial"/>
          <w:sz w:val="20"/>
          <w:szCs w:val="20"/>
        </w:rPr>
      </w:pPr>
    </w:p>
    <w:p w14:paraId="048253E6" w14:textId="77777777" w:rsidR="002E1A2F" w:rsidRDefault="002E1A2F" w:rsidP="00744FB6">
      <w:pPr>
        <w:spacing w:line="276" w:lineRule="auto"/>
        <w:ind w:firstLine="360"/>
        <w:jc w:val="both"/>
        <w:rPr>
          <w:rFonts w:ascii="Arial" w:eastAsia="Arial" w:hAnsi="Arial" w:cs="Arial"/>
          <w:sz w:val="20"/>
          <w:szCs w:val="20"/>
        </w:rPr>
      </w:pPr>
    </w:p>
    <w:p w14:paraId="295DD7E4" w14:textId="77777777" w:rsidR="002E1A2F" w:rsidRPr="00741B1E" w:rsidRDefault="002E1A2F" w:rsidP="00744FB6">
      <w:pPr>
        <w:spacing w:line="276" w:lineRule="auto"/>
        <w:ind w:firstLine="360"/>
        <w:jc w:val="both"/>
        <w:rPr>
          <w:rFonts w:ascii="Arial" w:eastAsia="Arial" w:hAnsi="Arial" w:cs="Arial"/>
          <w:b/>
          <w:bCs/>
          <w:sz w:val="20"/>
          <w:szCs w:val="20"/>
        </w:rPr>
      </w:pPr>
    </w:p>
    <w:p w14:paraId="01CE1706" w14:textId="77777777" w:rsidR="00DB159D" w:rsidRDefault="00DB159D" w:rsidP="00744FB6">
      <w:pPr>
        <w:pStyle w:val="Prrafodelista"/>
        <w:spacing w:line="276" w:lineRule="auto"/>
        <w:jc w:val="both"/>
        <w:rPr>
          <w:rFonts w:ascii="Arial" w:eastAsia="Arial" w:hAnsi="Arial" w:cs="Arial"/>
          <w:b/>
          <w:bCs/>
          <w:sz w:val="20"/>
          <w:szCs w:val="20"/>
        </w:rPr>
      </w:pPr>
    </w:p>
    <w:p w14:paraId="4D601D3C" w14:textId="18E7705B" w:rsidR="00741B1E" w:rsidRDefault="00741B1E" w:rsidP="00744FB6">
      <w:pPr>
        <w:pStyle w:val="Prrafodelista"/>
        <w:numPr>
          <w:ilvl w:val="0"/>
          <w:numId w:val="5"/>
        </w:numPr>
        <w:spacing w:line="276" w:lineRule="auto"/>
        <w:jc w:val="both"/>
        <w:rPr>
          <w:rFonts w:ascii="Arial" w:eastAsia="Arial" w:hAnsi="Arial" w:cs="Arial"/>
          <w:b/>
          <w:bCs/>
          <w:sz w:val="20"/>
          <w:szCs w:val="20"/>
        </w:rPr>
      </w:pPr>
      <w:r w:rsidRPr="00741B1E">
        <w:rPr>
          <w:rFonts w:ascii="Arial" w:eastAsia="Arial" w:hAnsi="Arial" w:cs="Arial"/>
          <w:b/>
          <w:bCs/>
          <w:sz w:val="20"/>
          <w:szCs w:val="20"/>
        </w:rPr>
        <w:lastRenderedPageBreak/>
        <w:t>Desarrollo social y Familia</w:t>
      </w:r>
    </w:p>
    <w:p w14:paraId="74175DEB" w14:textId="77777777" w:rsidR="004C0858" w:rsidRDefault="004C0858" w:rsidP="00744FB6">
      <w:pPr>
        <w:pStyle w:val="Prrafodelista"/>
        <w:spacing w:line="276" w:lineRule="auto"/>
        <w:jc w:val="both"/>
        <w:rPr>
          <w:rFonts w:ascii="Arial" w:eastAsia="Arial" w:hAnsi="Arial" w:cs="Arial"/>
          <w:b/>
          <w:bCs/>
          <w:sz w:val="20"/>
          <w:szCs w:val="20"/>
        </w:rPr>
      </w:pPr>
    </w:p>
    <w:p w14:paraId="50276663" w14:textId="77777777" w:rsidR="00BF3446" w:rsidRPr="00BF3446" w:rsidRDefault="00BF3446" w:rsidP="00744FB6">
      <w:pPr>
        <w:spacing w:line="276" w:lineRule="auto"/>
        <w:jc w:val="both"/>
        <w:rPr>
          <w:rFonts w:ascii="Arial" w:eastAsia="Arial" w:hAnsi="Arial" w:cs="Arial"/>
          <w:b/>
          <w:bCs/>
          <w:sz w:val="20"/>
          <w:szCs w:val="20"/>
        </w:rPr>
      </w:pPr>
      <w:r w:rsidRPr="00BF3446">
        <w:rPr>
          <w:rFonts w:ascii="Arial" w:eastAsia="Arial" w:hAnsi="Arial" w:cs="Arial"/>
          <w:b/>
          <w:bCs/>
          <w:sz w:val="20"/>
          <w:szCs w:val="20"/>
        </w:rPr>
        <w:t>Fondo de Solidaridad e Inversión Social — FOSIS</w:t>
      </w:r>
    </w:p>
    <w:p w14:paraId="128FCAB2" w14:textId="77777777" w:rsidR="00BF3446" w:rsidRPr="00BF3446" w:rsidRDefault="00BF3446" w:rsidP="00744FB6">
      <w:pPr>
        <w:spacing w:line="276" w:lineRule="auto"/>
        <w:jc w:val="both"/>
        <w:rPr>
          <w:rFonts w:ascii="Arial" w:eastAsia="Arial" w:hAnsi="Arial" w:cs="Arial"/>
          <w:b/>
          <w:bCs/>
          <w:sz w:val="20"/>
          <w:szCs w:val="20"/>
        </w:rPr>
      </w:pPr>
    </w:p>
    <w:p w14:paraId="315FC344" w14:textId="77777777" w:rsidR="00BF3446" w:rsidRPr="00BF3446" w:rsidRDefault="00BF3446" w:rsidP="00744FB6">
      <w:pPr>
        <w:spacing w:line="276" w:lineRule="auto"/>
        <w:ind w:firstLine="708"/>
        <w:jc w:val="both"/>
        <w:rPr>
          <w:rFonts w:ascii="Arial" w:eastAsia="Arial" w:hAnsi="Arial" w:cs="Arial"/>
          <w:sz w:val="20"/>
          <w:szCs w:val="20"/>
        </w:rPr>
      </w:pPr>
      <w:r w:rsidRPr="00BF3446">
        <w:rPr>
          <w:rFonts w:ascii="Arial" w:eastAsia="Arial" w:hAnsi="Arial" w:cs="Arial"/>
          <w:sz w:val="20"/>
          <w:szCs w:val="20"/>
        </w:rPr>
        <w:t>Durante 2025, FOSIS ejecutó más de $1.520 millones, beneficiando a 2.190 personas, dos organizaciones y dos territorios de la Región de Coquimbo.</w:t>
      </w:r>
    </w:p>
    <w:p w14:paraId="41D2CECF" w14:textId="77777777" w:rsidR="00BF3446" w:rsidRPr="00BF3446" w:rsidRDefault="00BF3446" w:rsidP="00744FB6">
      <w:pPr>
        <w:spacing w:line="276" w:lineRule="auto"/>
        <w:jc w:val="both"/>
        <w:rPr>
          <w:rFonts w:ascii="Arial" w:eastAsia="Arial" w:hAnsi="Arial" w:cs="Arial"/>
          <w:sz w:val="20"/>
          <w:szCs w:val="20"/>
        </w:rPr>
      </w:pPr>
    </w:p>
    <w:p w14:paraId="4F54C380" w14:textId="77777777" w:rsidR="00BF3446" w:rsidRPr="00BF3446" w:rsidRDefault="00BF3446" w:rsidP="00744FB6">
      <w:pPr>
        <w:spacing w:line="276" w:lineRule="auto"/>
        <w:ind w:firstLine="708"/>
        <w:jc w:val="both"/>
        <w:rPr>
          <w:rFonts w:ascii="Arial" w:eastAsia="Arial" w:hAnsi="Arial" w:cs="Arial"/>
          <w:sz w:val="20"/>
          <w:szCs w:val="20"/>
        </w:rPr>
      </w:pPr>
      <w:r w:rsidRPr="00BF3446">
        <w:rPr>
          <w:rFonts w:ascii="Arial" w:eastAsia="Arial" w:hAnsi="Arial" w:cs="Arial"/>
          <w:sz w:val="20"/>
          <w:szCs w:val="20"/>
        </w:rPr>
        <w:t xml:space="preserve">La línea de emprendimiento destinó más de $1.352 millones a 1.257 personas mediante los programas Emprendamos Semilla, Básico, Avanzado, Grupal y Ferias, con cobertura en las quince comunas. Además, los programas de cohesión social alcanzaron a 865 personas y desarrollaron intervenciones territoriales en </w:t>
      </w:r>
      <w:proofErr w:type="spellStart"/>
      <w:r w:rsidRPr="00BF3446">
        <w:rPr>
          <w:rFonts w:ascii="Arial" w:eastAsia="Arial" w:hAnsi="Arial" w:cs="Arial"/>
          <w:sz w:val="20"/>
          <w:szCs w:val="20"/>
        </w:rPr>
        <w:t>Huatulame</w:t>
      </w:r>
      <w:proofErr w:type="spellEnd"/>
      <w:r w:rsidRPr="00BF3446">
        <w:rPr>
          <w:rFonts w:ascii="Arial" w:eastAsia="Arial" w:hAnsi="Arial" w:cs="Arial"/>
          <w:sz w:val="20"/>
          <w:szCs w:val="20"/>
        </w:rPr>
        <w:t>, comuna de Monte Patria, y Matadero, en Andacollo.</w:t>
      </w:r>
    </w:p>
    <w:p w14:paraId="108AE8A0" w14:textId="77777777" w:rsidR="00BF3446" w:rsidRPr="00BF3446" w:rsidRDefault="00BF3446" w:rsidP="00744FB6">
      <w:pPr>
        <w:spacing w:line="276" w:lineRule="auto"/>
        <w:ind w:firstLine="708"/>
        <w:jc w:val="both"/>
        <w:rPr>
          <w:rFonts w:ascii="Arial" w:eastAsia="Arial" w:hAnsi="Arial" w:cs="Arial"/>
          <w:sz w:val="20"/>
          <w:szCs w:val="20"/>
        </w:rPr>
      </w:pPr>
      <w:r w:rsidRPr="00BF3446">
        <w:rPr>
          <w:rFonts w:ascii="Arial" w:eastAsia="Arial" w:hAnsi="Arial" w:cs="Arial"/>
          <w:sz w:val="20"/>
          <w:szCs w:val="20"/>
        </w:rPr>
        <w:t>Entre los principales hitos destacó la realización de la Expo FOSIS en Coquimbo, que permitió a 24 emprendedores y emprendedoras acceder a un espacio de comercialización y difusión de sus productos mediante una alianza público-privada.</w:t>
      </w:r>
    </w:p>
    <w:p w14:paraId="3C0B0BEF" w14:textId="77777777" w:rsidR="00BF3446" w:rsidRPr="00BF3446" w:rsidRDefault="00BF3446" w:rsidP="00744FB6">
      <w:pPr>
        <w:spacing w:line="276" w:lineRule="auto"/>
        <w:jc w:val="both"/>
        <w:rPr>
          <w:rFonts w:ascii="Arial" w:eastAsia="Arial" w:hAnsi="Arial" w:cs="Arial"/>
          <w:sz w:val="20"/>
          <w:szCs w:val="20"/>
        </w:rPr>
      </w:pPr>
    </w:p>
    <w:p w14:paraId="0ED59716" w14:textId="77777777" w:rsidR="00BF3446" w:rsidRPr="00BF3446" w:rsidRDefault="00BF3446" w:rsidP="00744FB6">
      <w:pPr>
        <w:spacing w:line="276" w:lineRule="auto"/>
        <w:jc w:val="both"/>
        <w:rPr>
          <w:rFonts w:ascii="Arial" w:eastAsia="Arial" w:hAnsi="Arial" w:cs="Arial"/>
          <w:b/>
          <w:bCs/>
          <w:sz w:val="20"/>
          <w:szCs w:val="20"/>
        </w:rPr>
      </w:pPr>
      <w:r w:rsidRPr="00BF3446">
        <w:rPr>
          <w:rFonts w:ascii="Arial" w:eastAsia="Arial" w:hAnsi="Arial" w:cs="Arial"/>
          <w:b/>
          <w:bCs/>
          <w:sz w:val="20"/>
          <w:szCs w:val="20"/>
        </w:rPr>
        <w:t>Servicio de Protección Especializada a la Niñez y Adolescencia</w:t>
      </w:r>
    </w:p>
    <w:p w14:paraId="3311D081" w14:textId="77777777" w:rsidR="00BF3446" w:rsidRPr="00BF3446" w:rsidRDefault="00BF3446" w:rsidP="00744FB6">
      <w:pPr>
        <w:spacing w:line="276" w:lineRule="auto"/>
        <w:jc w:val="both"/>
        <w:rPr>
          <w:rFonts w:ascii="Arial" w:eastAsia="Arial" w:hAnsi="Arial" w:cs="Arial"/>
          <w:sz w:val="20"/>
          <w:szCs w:val="20"/>
        </w:rPr>
      </w:pPr>
    </w:p>
    <w:p w14:paraId="4D78B077" w14:textId="77777777" w:rsidR="00BF3446" w:rsidRPr="00BF3446" w:rsidRDefault="00BF3446" w:rsidP="00744FB6">
      <w:pPr>
        <w:spacing w:line="276" w:lineRule="auto"/>
        <w:ind w:firstLine="708"/>
        <w:jc w:val="both"/>
        <w:rPr>
          <w:rFonts w:ascii="Arial" w:eastAsia="Arial" w:hAnsi="Arial" w:cs="Arial"/>
          <w:sz w:val="20"/>
          <w:szCs w:val="20"/>
        </w:rPr>
      </w:pPr>
      <w:r w:rsidRPr="00BF3446">
        <w:rPr>
          <w:rFonts w:ascii="Arial" w:eastAsia="Arial" w:hAnsi="Arial" w:cs="Arial"/>
          <w:sz w:val="20"/>
          <w:szCs w:val="20"/>
        </w:rPr>
        <w:t>Durante 2025, el Servicio fortaleció la red regional de protección especializada mediante la ampliación de la oferta, el impulso del acogimiento familiar y la modernización de la atención residencial.</w:t>
      </w:r>
    </w:p>
    <w:p w14:paraId="427694FA" w14:textId="77777777" w:rsidR="00BF3446" w:rsidRPr="00BF3446" w:rsidRDefault="00BF3446" w:rsidP="00744FB6">
      <w:pPr>
        <w:spacing w:line="276" w:lineRule="auto"/>
        <w:ind w:firstLine="708"/>
        <w:jc w:val="both"/>
        <w:rPr>
          <w:rFonts w:ascii="Arial" w:eastAsia="Arial" w:hAnsi="Arial" w:cs="Arial"/>
          <w:sz w:val="20"/>
          <w:szCs w:val="20"/>
        </w:rPr>
      </w:pPr>
      <w:r w:rsidRPr="00BF3446">
        <w:rPr>
          <w:rFonts w:ascii="Arial" w:eastAsia="Arial" w:hAnsi="Arial" w:cs="Arial"/>
          <w:sz w:val="20"/>
          <w:szCs w:val="20"/>
        </w:rPr>
        <w:t>En el programa Familias de Acogida se registraron 520 ingresos de familias postulantes, acompañados de una campaña regional de difusión que incluyó 70 apariciones en medios de comunicación. Asimismo, se consolidó la Red de Embajadores del Acogimiento Familiar, orientada a captar nuevas familias y fortalecer las redes de apoyo.</w:t>
      </w:r>
    </w:p>
    <w:p w14:paraId="06C02515" w14:textId="19C2938B" w:rsidR="00BF3446" w:rsidRPr="00BF3446" w:rsidRDefault="00BF3446" w:rsidP="00744FB6">
      <w:pPr>
        <w:spacing w:line="276" w:lineRule="auto"/>
        <w:ind w:firstLine="360"/>
        <w:jc w:val="both"/>
        <w:rPr>
          <w:rFonts w:ascii="Arial" w:eastAsia="Arial" w:hAnsi="Arial" w:cs="Arial"/>
          <w:sz w:val="20"/>
          <w:szCs w:val="20"/>
        </w:rPr>
      </w:pPr>
      <w:r w:rsidRPr="00BF3446">
        <w:rPr>
          <w:rFonts w:ascii="Arial" w:eastAsia="Arial" w:hAnsi="Arial" w:cs="Arial"/>
          <w:sz w:val="20"/>
          <w:szCs w:val="20"/>
        </w:rPr>
        <w:t>También se inició la actualización de la oferta residencial bajo nuevas orientaciones técnicas, incorporando mayores recursos, equipos profesionales y un enfoque terapéutico para mejorar la atención de niños, niñas y adolescentes.</w:t>
      </w:r>
    </w:p>
    <w:p w14:paraId="42673112" w14:textId="0BD25A6E" w:rsidR="00EC6C11" w:rsidRPr="00BF3446" w:rsidRDefault="00EC6C11" w:rsidP="00744FB6">
      <w:pPr>
        <w:spacing w:line="276" w:lineRule="auto"/>
        <w:jc w:val="both"/>
        <w:rPr>
          <w:rFonts w:ascii="Arial" w:eastAsia="Arial" w:hAnsi="Arial" w:cs="Arial"/>
          <w:sz w:val="20"/>
          <w:szCs w:val="20"/>
        </w:rPr>
      </w:pPr>
    </w:p>
    <w:p w14:paraId="1FE3EE1A" w14:textId="27C297A9" w:rsidR="00EC6C11" w:rsidRPr="009A470F" w:rsidRDefault="009A470F" w:rsidP="00744FB6">
      <w:pPr>
        <w:pStyle w:val="Prrafodelista"/>
        <w:numPr>
          <w:ilvl w:val="0"/>
          <w:numId w:val="5"/>
        </w:numPr>
        <w:spacing w:line="276" w:lineRule="auto"/>
        <w:jc w:val="both"/>
        <w:rPr>
          <w:rFonts w:ascii="Arial" w:eastAsia="Arial" w:hAnsi="Arial" w:cs="Arial"/>
          <w:b/>
          <w:bCs/>
          <w:sz w:val="20"/>
          <w:szCs w:val="20"/>
        </w:rPr>
      </w:pPr>
      <w:r w:rsidRPr="009A470F">
        <w:rPr>
          <w:rFonts w:ascii="Arial" w:eastAsia="Arial" w:hAnsi="Arial" w:cs="Arial"/>
          <w:b/>
          <w:bCs/>
          <w:sz w:val="20"/>
          <w:szCs w:val="20"/>
        </w:rPr>
        <w:t>Bienes Nacionales</w:t>
      </w:r>
    </w:p>
    <w:p w14:paraId="4C3C2555" w14:textId="3A71150E" w:rsidR="00EC6C11" w:rsidRPr="00BF3446" w:rsidRDefault="00EC6C11" w:rsidP="00744FB6">
      <w:pPr>
        <w:spacing w:line="276" w:lineRule="auto"/>
        <w:jc w:val="both"/>
        <w:rPr>
          <w:rFonts w:ascii="Arial" w:eastAsia="Arial" w:hAnsi="Arial" w:cs="Arial"/>
          <w:sz w:val="20"/>
          <w:szCs w:val="20"/>
        </w:rPr>
      </w:pPr>
    </w:p>
    <w:p w14:paraId="591DFFED" w14:textId="77777777" w:rsidR="0064572B" w:rsidRPr="0064572B" w:rsidRDefault="0064572B" w:rsidP="00744FB6">
      <w:pPr>
        <w:spacing w:line="276" w:lineRule="auto"/>
        <w:ind w:firstLine="360"/>
        <w:jc w:val="both"/>
        <w:rPr>
          <w:rFonts w:ascii="Arial" w:eastAsia="Arial" w:hAnsi="Arial" w:cs="Arial"/>
          <w:sz w:val="20"/>
          <w:szCs w:val="20"/>
        </w:rPr>
      </w:pPr>
      <w:r w:rsidRPr="0064572B">
        <w:rPr>
          <w:rFonts w:ascii="Arial" w:eastAsia="Arial" w:hAnsi="Arial" w:cs="Arial"/>
          <w:sz w:val="20"/>
          <w:szCs w:val="20"/>
        </w:rPr>
        <w:t>Durante el período 2025-marzo de 2026, Bienes Nacionales fortaleció la administración y fiscalización del patrimonio fiscal regional. Se realizaron 496 fiscalizaciones y se gestionaron 324 ocupaciones, de las cuales 80 fueron normalizadas y 244 incorporadas a procesos de gestión.</w:t>
      </w:r>
    </w:p>
    <w:p w14:paraId="09BC9937" w14:textId="77777777" w:rsidR="0064572B" w:rsidRPr="0064572B" w:rsidRDefault="0064572B" w:rsidP="00744FB6">
      <w:pPr>
        <w:spacing w:line="276" w:lineRule="auto"/>
        <w:ind w:firstLine="360"/>
        <w:jc w:val="both"/>
        <w:rPr>
          <w:rFonts w:ascii="Arial" w:eastAsia="Arial" w:hAnsi="Arial" w:cs="Arial"/>
          <w:sz w:val="20"/>
          <w:szCs w:val="20"/>
        </w:rPr>
      </w:pPr>
      <w:r w:rsidRPr="0064572B">
        <w:rPr>
          <w:rFonts w:ascii="Arial" w:eastAsia="Arial" w:hAnsi="Arial" w:cs="Arial"/>
          <w:sz w:val="20"/>
          <w:szCs w:val="20"/>
        </w:rPr>
        <w:t>En materia de acceso público, se recibieron y tramitaron 20 denuncias por dificultades de acceso a playas, ríos y lagos. Asimismo, se entregó a la Municipalidad de Paihuano una concesión de uso gratuito por 30 años de la Casa Escuela Gabriela Mistral de Montegrande, con el propósito de asegurar su administración y avanzar en la rehabilitación del museo de sitio.</w:t>
      </w:r>
    </w:p>
    <w:p w14:paraId="167D88B2" w14:textId="77777777" w:rsidR="0064572B" w:rsidRPr="0064572B" w:rsidRDefault="0064572B" w:rsidP="00744FB6">
      <w:pPr>
        <w:spacing w:line="276" w:lineRule="auto"/>
        <w:ind w:firstLine="360"/>
        <w:jc w:val="both"/>
        <w:rPr>
          <w:rFonts w:ascii="Arial" w:eastAsia="Arial" w:hAnsi="Arial" w:cs="Arial"/>
          <w:sz w:val="20"/>
          <w:szCs w:val="20"/>
        </w:rPr>
      </w:pPr>
      <w:r w:rsidRPr="0064572B">
        <w:rPr>
          <w:rFonts w:ascii="Arial" w:eastAsia="Arial" w:hAnsi="Arial" w:cs="Arial"/>
          <w:sz w:val="20"/>
          <w:szCs w:val="20"/>
        </w:rPr>
        <w:t>Como apoyo al Plan de Emergencia Habitacional, se otorgaron cuatro concesiones de uso gratuito a SERVIU para el desarrollo de iniciativas habitacionales. Además, se entregaron 20 concesiones gratuitas de corto plazo a organizaciones sociales y comunitarias y siete permisos de ocupación para actividades comerciales en Guanaqueros, favoreciendo principalmente la autonomía económica de mujeres.</w:t>
      </w:r>
    </w:p>
    <w:p w14:paraId="1F41987F" w14:textId="20FF0314" w:rsidR="00EC6C11" w:rsidRDefault="0064572B" w:rsidP="00744FB6">
      <w:pPr>
        <w:spacing w:line="276" w:lineRule="auto"/>
        <w:ind w:firstLine="360"/>
        <w:jc w:val="both"/>
        <w:rPr>
          <w:rFonts w:ascii="Arial" w:eastAsia="Arial" w:hAnsi="Arial" w:cs="Arial"/>
          <w:sz w:val="20"/>
          <w:szCs w:val="20"/>
        </w:rPr>
      </w:pPr>
      <w:r w:rsidRPr="0064572B">
        <w:rPr>
          <w:rFonts w:ascii="Arial" w:eastAsia="Arial" w:hAnsi="Arial" w:cs="Arial"/>
          <w:sz w:val="20"/>
          <w:szCs w:val="20"/>
        </w:rPr>
        <w:t>Otro hito fue el primer decreto expropiatorio dictado en el marco de la Ley de Caletas, destinado a concretar el proceso de Caleta Sierra, en Ovalle, con una indemnización superior a $721 millones.</w:t>
      </w:r>
    </w:p>
    <w:p w14:paraId="27421420" w14:textId="77777777" w:rsidR="00274178" w:rsidRDefault="00274178" w:rsidP="00744FB6">
      <w:pPr>
        <w:spacing w:line="276" w:lineRule="auto"/>
        <w:ind w:firstLine="360"/>
        <w:jc w:val="both"/>
        <w:rPr>
          <w:rFonts w:ascii="Arial" w:eastAsia="Arial" w:hAnsi="Arial" w:cs="Arial"/>
          <w:sz w:val="20"/>
          <w:szCs w:val="20"/>
        </w:rPr>
      </w:pPr>
    </w:p>
    <w:p w14:paraId="14EAE015" w14:textId="77777777" w:rsidR="00274178" w:rsidRDefault="00274178" w:rsidP="00744FB6">
      <w:pPr>
        <w:spacing w:line="276" w:lineRule="auto"/>
        <w:ind w:firstLine="360"/>
        <w:jc w:val="both"/>
        <w:rPr>
          <w:rFonts w:ascii="Arial" w:eastAsia="Arial" w:hAnsi="Arial" w:cs="Arial"/>
          <w:sz w:val="20"/>
          <w:szCs w:val="20"/>
        </w:rPr>
      </w:pPr>
    </w:p>
    <w:p w14:paraId="3C5CE34B" w14:textId="77777777" w:rsidR="00274178" w:rsidRDefault="00274178" w:rsidP="00744FB6">
      <w:pPr>
        <w:spacing w:line="276" w:lineRule="auto"/>
        <w:ind w:firstLine="360"/>
        <w:jc w:val="both"/>
        <w:rPr>
          <w:rFonts w:ascii="Arial" w:eastAsia="Arial" w:hAnsi="Arial" w:cs="Arial"/>
          <w:sz w:val="20"/>
          <w:szCs w:val="20"/>
        </w:rPr>
      </w:pPr>
    </w:p>
    <w:p w14:paraId="5B7AB6C4" w14:textId="77777777" w:rsidR="00274178" w:rsidRDefault="00274178" w:rsidP="00744FB6">
      <w:pPr>
        <w:spacing w:line="276" w:lineRule="auto"/>
        <w:ind w:firstLine="360"/>
        <w:jc w:val="both"/>
        <w:rPr>
          <w:rFonts w:ascii="Arial" w:eastAsia="Arial" w:hAnsi="Arial" w:cs="Arial"/>
          <w:sz w:val="20"/>
          <w:szCs w:val="20"/>
        </w:rPr>
      </w:pPr>
    </w:p>
    <w:p w14:paraId="7FE2B69B" w14:textId="77777777" w:rsidR="00A91C67" w:rsidRDefault="00A91C67" w:rsidP="00744FB6">
      <w:pPr>
        <w:spacing w:line="276" w:lineRule="auto"/>
        <w:jc w:val="both"/>
        <w:rPr>
          <w:rFonts w:ascii="Arial" w:eastAsia="Arial" w:hAnsi="Arial" w:cs="Arial"/>
          <w:sz w:val="20"/>
          <w:szCs w:val="20"/>
        </w:rPr>
      </w:pPr>
    </w:p>
    <w:p w14:paraId="6A2AB802" w14:textId="5C3F7A42" w:rsidR="00A91C67" w:rsidRPr="00274178" w:rsidRDefault="00A91C67" w:rsidP="00274178">
      <w:pPr>
        <w:pStyle w:val="Prrafodelista"/>
        <w:numPr>
          <w:ilvl w:val="0"/>
          <w:numId w:val="5"/>
        </w:numPr>
        <w:spacing w:line="276" w:lineRule="auto"/>
        <w:jc w:val="both"/>
        <w:rPr>
          <w:rFonts w:ascii="Arial" w:eastAsia="Arial" w:hAnsi="Arial" w:cs="Arial"/>
          <w:b/>
          <w:bCs/>
          <w:sz w:val="20"/>
          <w:szCs w:val="20"/>
        </w:rPr>
      </w:pPr>
      <w:r w:rsidRPr="00274178">
        <w:rPr>
          <w:rFonts w:ascii="Arial" w:eastAsia="Arial" w:hAnsi="Arial" w:cs="Arial"/>
          <w:b/>
          <w:bCs/>
          <w:sz w:val="20"/>
          <w:szCs w:val="20"/>
        </w:rPr>
        <w:lastRenderedPageBreak/>
        <w:t>Mujer y Equidad de Género</w:t>
      </w:r>
    </w:p>
    <w:p w14:paraId="6BDAA445" w14:textId="77777777" w:rsidR="004C0858" w:rsidRPr="0099416E" w:rsidRDefault="004C0858" w:rsidP="00744FB6">
      <w:pPr>
        <w:pStyle w:val="Prrafodelista"/>
        <w:spacing w:line="276" w:lineRule="auto"/>
        <w:jc w:val="both"/>
        <w:rPr>
          <w:rFonts w:ascii="Arial" w:eastAsia="Arial" w:hAnsi="Arial" w:cs="Arial"/>
          <w:b/>
          <w:bCs/>
          <w:sz w:val="20"/>
          <w:szCs w:val="20"/>
        </w:rPr>
      </w:pPr>
    </w:p>
    <w:p w14:paraId="461EEFD0" w14:textId="77777777" w:rsidR="0099416E" w:rsidRPr="0099416E" w:rsidRDefault="0099416E" w:rsidP="00744FB6">
      <w:pPr>
        <w:spacing w:line="276" w:lineRule="auto"/>
        <w:jc w:val="both"/>
        <w:rPr>
          <w:rFonts w:ascii="Arial" w:eastAsia="Arial" w:hAnsi="Arial" w:cs="Arial"/>
          <w:b/>
          <w:bCs/>
          <w:sz w:val="20"/>
          <w:szCs w:val="20"/>
        </w:rPr>
      </w:pPr>
      <w:r w:rsidRPr="0099416E">
        <w:rPr>
          <w:rFonts w:ascii="Arial" w:eastAsia="Arial" w:hAnsi="Arial" w:cs="Arial"/>
          <w:b/>
          <w:bCs/>
          <w:sz w:val="20"/>
          <w:szCs w:val="20"/>
        </w:rPr>
        <w:t>Secretaría Regional Ministerial de la Mujer y la Equidad de Género</w:t>
      </w:r>
    </w:p>
    <w:p w14:paraId="2BE2D422" w14:textId="77777777" w:rsidR="0099416E" w:rsidRPr="0099416E" w:rsidRDefault="0099416E" w:rsidP="00744FB6">
      <w:pPr>
        <w:spacing w:line="276" w:lineRule="auto"/>
        <w:jc w:val="both"/>
        <w:rPr>
          <w:rFonts w:ascii="Arial" w:eastAsia="Arial" w:hAnsi="Arial" w:cs="Arial"/>
          <w:sz w:val="20"/>
          <w:szCs w:val="20"/>
        </w:rPr>
      </w:pPr>
    </w:p>
    <w:p w14:paraId="37F0E076" w14:textId="77777777" w:rsidR="0099416E" w:rsidRPr="0099416E" w:rsidRDefault="0099416E" w:rsidP="00744FB6">
      <w:pPr>
        <w:spacing w:line="276" w:lineRule="auto"/>
        <w:ind w:firstLine="708"/>
        <w:jc w:val="both"/>
        <w:rPr>
          <w:rFonts w:ascii="Arial" w:eastAsia="Arial" w:hAnsi="Arial" w:cs="Arial"/>
          <w:sz w:val="20"/>
          <w:szCs w:val="20"/>
        </w:rPr>
      </w:pPr>
      <w:r w:rsidRPr="0099416E">
        <w:rPr>
          <w:rFonts w:ascii="Arial" w:eastAsia="Arial" w:hAnsi="Arial" w:cs="Arial"/>
          <w:sz w:val="20"/>
          <w:szCs w:val="20"/>
        </w:rPr>
        <w:t xml:space="preserve">Durante 2025 se </w:t>
      </w:r>
      <w:proofErr w:type="spellStart"/>
      <w:r w:rsidRPr="0099416E">
        <w:rPr>
          <w:rFonts w:ascii="Arial" w:eastAsia="Arial" w:hAnsi="Arial" w:cs="Arial"/>
          <w:sz w:val="20"/>
          <w:szCs w:val="20"/>
        </w:rPr>
        <w:t>fortalecó</w:t>
      </w:r>
      <w:proofErr w:type="spellEnd"/>
      <w:r w:rsidRPr="0099416E">
        <w:rPr>
          <w:rFonts w:ascii="Arial" w:eastAsia="Arial" w:hAnsi="Arial" w:cs="Arial"/>
          <w:sz w:val="20"/>
          <w:szCs w:val="20"/>
        </w:rPr>
        <w:t xml:space="preserve"> la coordinación regional mediante mesas de trabajo sobre autonomía económica, mujeres rurales, minería, energía, pesca, cuidados, acceso a la justicia y prevención de la violencia. También se implementó la Mesa de Mujeres Cuidadoras, vinculada al despliegue del Sistema Nacional de Apoyos y Cuidados.</w:t>
      </w:r>
    </w:p>
    <w:p w14:paraId="5F93120D" w14:textId="77777777" w:rsidR="0099416E" w:rsidRPr="0099416E" w:rsidRDefault="0099416E" w:rsidP="00744FB6">
      <w:pPr>
        <w:spacing w:line="276" w:lineRule="auto"/>
        <w:ind w:firstLine="708"/>
        <w:jc w:val="both"/>
        <w:rPr>
          <w:rFonts w:ascii="Arial" w:eastAsia="Arial" w:hAnsi="Arial" w:cs="Arial"/>
          <w:sz w:val="20"/>
          <w:szCs w:val="20"/>
        </w:rPr>
      </w:pPr>
      <w:r w:rsidRPr="0099416E">
        <w:rPr>
          <w:rFonts w:ascii="Arial" w:eastAsia="Arial" w:hAnsi="Arial" w:cs="Arial"/>
          <w:sz w:val="20"/>
          <w:szCs w:val="20"/>
        </w:rPr>
        <w:t>En materia de autonomía económica, se desarrollaron acciones como el programa “Juntas Nos Movemos”, que formó a 23 nuevas conductoras; la Caminata Mentora Más Gabrielas, con 105 participantes; y talleres de emprendimiento y cumplimiento tributario que reunieron a más de 340 mujeres.</w:t>
      </w:r>
    </w:p>
    <w:p w14:paraId="33870AB2" w14:textId="77777777" w:rsidR="0099416E" w:rsidRPr="0099416E" w:rsidRDefault="0099416E" w:rsidP="00744FB6">
      <w:pPr>
        <w:spacing w:line="276" w:lineRule="auto"/>
        <w:ind w:firstLine="708"/>
        <w:jc w:val="both"/>
        <w:rPr>
          <w:rFonts w:ascii="Arial" w:eastAsia="Arial" w:hAnsi="Arial" w:cs="Arial"/>
          <w:sz w:val="20"/>
          <w:szCs w:val="20"/>
        </w:rPr>
      </w:pPr>
      <w:r w:rsidRPr="0099416E">
        <w:rPr>
          <w:rFonts w:ascii="Arial" w:eastAsia="Arial" w:hAnsi="Arial" w:cs="Arial"/>
          <w:sz w:val="20"/>
          <w:szCs w:val="20"/>
        </w:rPr>
        <w:t xml:space="preserve">Asimismo, se realizaron actividades de prevención de la violencia y gestión de riesgos, junto con la difusión de la Ley </w:t>
      </w:r>
      <w:proofErr w:type="spellStart"/>
      <w:r w:rsidRPr="0099416E">
        <w:rPr>
          <w:rFonts w:ascii="Arial" w:eastAsia="Arial" w:hAnsi="Arial" w:cs="Arial"/>
          <w:sz w:val="20"/>
          <w:szCs w:val="20"/>
        </w:rPr>
        <w:t>N.°</w:t>
      </w:r>
      <w:proofErr w:type="spellEnd"/>
      <w:r w:rsidRPr="0099416E">
        <w:rPr>
          <w:rFonts w:ascii="Arial" w:eastAsia="Arial" w:hAnsi="Arial" w:cs="Arial"/>
          <w:sz w:val="20"/>
          <w:szCs w:val="20"/>
        </w:rPr>
        <w:t xml:space="preserve"> 21.675 y otras normas sobre cuidados, corresponsabilidad y derechos laborales. La transversalización del enfoque de género permitió elaborar diagnósticos en 20 secretarías regionales ministeriales y monitorear 223 compromisos de la Agenda Regional por la Igualdad de Derechos y la Equidad de Género.</w:t>
      </w:r>
    </w:p>
    <w:p w14:paraId="5EB21180" w14:textId="77777777" w:rsidR="0099416E" w:rsidRPr="0099416E" w:rsidRDefault="0099416E" w:rsidP="00744FB6">
      <w:pPr>
        <w:spacing w:line="276" w:lineRule="auto"/>
        <w:jc w:val="both"/>
        <w:rPr>
          <w:rFonts w:ascii="Arial" w:eastAsia="Arial" w:hAnsi="Arial" w:cs="Arial"/>
          <w:sz w:val="20"/>
          <w:szCs w:val="20"/>
        </w:rPr>
      </w:pPr>
    </w:p>
    <w:p w14:paraId="7056363C" w14:textId="77777777" w:rsidR="0099416E" w:rsidRPr="0099416E" w:rsidRDefault="0099416E" w:rsidP="00744FB6">
      <w:pPr>
        <w:spacing w:line="276" w:lineRule="auto"/>
        <w:jc w:val="both"/>
        <w:rPr>
          <w:rFonts w:ascii="Arial" w:eastAsia="Arial" w:hAnsi="Arial" w:cs="Arial"/>
          <w:b/>
          <w:bCs/>
          <w:sz w:val="20"/>
          <w:szCs w:val="20"/>
        </w:rPr>
      </w:pPr>
      <w:r w:rsidRPr="0099416E">
        <w:rPr>
          <w:rFonts w:ascii="Arial" w:eastAsia="Arial" w:hAnsi="Arial" w:cs="Arial"/>
          <w:b/>
          <w:bCs/>
          <w:sz w:val="20"/>
          <w:szCs w:val="20"/>
        </w:rPr>
        <w:t xml:space="preserve">Servicio Nacional de la Mujer y la Equidad de Género — </w:t>
      </w:r>
      <w:proofErr w:type="spellStart"/>
      <w:r w:rsidRPr="0099416E">
        <w:rPr>
          <w:rFonts w:ascii="Arial" w:eastAsia="Arial" w:hAnsi="Arial" w:cs="Arial"/>
          <w:b/>
          <w:bCs/>
          <w:sz w:val="20"/>
          <w:szCs w:val="20"/>
        </w:rPr>
        <w:t>SernamEG</w:t>
      </w:r>
      <w:proofErr w:type="spellEnd"/>
    </w:p>
    <w:p w14:paraId="366B9ABA" w14:textId="77777777" w:rsidR="0099416E" w:rsidRPr="0099416E" w:rsidRDefault="0099416E" w:rsidP="00744FB6">
      <w:pPr>
        <w:spacing w:line="276" w:lineRule="auto"/>
        <w:jc w:val="both"/>
        <w:rPr>
          <w:rFonts w:ascii="Arial" w:eastAsia="Arial" w:hAnsi="Arial" w:cs="Arial"/>
          <w:sz w:val="20"/>
          <w:szCs w:val="20"/>
        </w:rPr>
      </w:pPr>
    </w:p>
    <w:p w14:paraId="591BA005" w14:textId="77777777" w:rsidR="0099416E" w:rsidRPr="0099416E" w:rsidRDefault="0099416E" w:rsidP="00744FB6">
      <w:pPr>
        <w:spacing w:line="276" w:lineRule="auto"/>
        <w:ind w:firstLine="708"/>
        <w:jc w:val="both"/>
        <w:rPr>
          <w:rFonts w:ascii="Arial" w:eastAsia="Arial" w:hAnsi="Arial" w:cs="Arial"/>
          <w:sz w:val="20"/>
          <w:szCs w:val="20"/>
        </w:rPr>
      </w:pPr>
      <w:r w:rsidRPr="0099416E">
        <w:rPr>
          <w:rFonts w:ascii="Arial" w:eastAsia="Arial" w:hAnsi="Arial" w:cs="Arial"/>
          <w:sz w:val="20"/>
          <w:szCs w:val="20"/>
        </w:rPr>
        <w:t xml:space="preserve">Durante 2025, </w:t>
      </w:r>
      <w:proofErr w:type="spellStart"/>
      <w:r w:rsidRPr="0099416E">
        <w:rPr>
          <w:rFonts w:ascii="Arial" w:eastAsia="Arial" w:hAnsi="Arial" w:cs="Arial"/>
          <w:sz w:val="20"/>
          <w:szCs w:val="20"/>
        </w:rPr>
        <w:t>SernamEG</w:t>
      </w:r>
      <w:proofErr w:type="spellEnd"/>
      <w:r w:rsidRPr="0099416E">
        <w:rPr>
          <w:rFonts w:ascii="Arial" w:eastAsia="Arial" w:hAnsi="Arial" w:cs="Arial"/>
          <w:sz w:val="20"/>
          <w:szCs w:val="20"/>
        </w:rPr>
        <w:t xml:space="preserve"> desplegó programas en las quince comunas, con una inversión regional superior a $1.920 millones. El Programa 4 a 7 benefició a 608 mujeres y 845 niños, niñas y adolescentes, mientras el Programa Mujeres </w:t>
      </w:r>
      <w:proofErr w:type="gramStart"/>
      <w:r w:rsidRPr="0099416E">
        <w:rPr>
          <w:rFonts w:ascii="Arial" w:eastAsia="Arial" w:hAnsi="Arial" w:cs="Arial"/>
          <w:sz w:val="20"/>
          <w:szCs w:val="20"/>
        </w:rPr>
        <w:t>Jefas</w:t>
      </w:r>
      <w:proofErr w:type="gramEnd"/>
      <w:r w:rsidRPr="0099416E">
        <w:rPr>
          <w:rFonts w:ascii="Arial" w:eastAsia="Arial" w:hAnsi="Arial" w:cs="Arial"/>
          <w:sz w:val="20"/>
          <w:szCs w:val="20"/>
        </w:rPr>
        <w:t xml:space="preserve"> de Hogar alcanzó a 1.055 participantes en trece comunas.</w:t>
      </w:r>
    </w:p>
    <w:p w14:paraId="30A2C7F0" w14:textId="77777777" w:rsidR="0099416E" w:rsidRPr="0099416E" w:rsidRDefault="0099416E" w:rsidP="00744FB6">
      <w:pPr>
        <w:spacing w:line="276" w:lineRule="auto"/>
        <w:ind w:firstLine="708"/>
        <w:jc w:val="both"/>
        <w:rPr>
          <w:rFonts w:ascii="Arial" w:eastAsia="Arial" w:hAnsi="Arial" w:cs="Arial"/>
          <w:sz w:val="20"/>
          <w:szCs w:val="20"/>
        </w:rPr>
      </w:pPr>
      <w:r w:rsidRPr="0099416E">
        <w:rPr>
          <w:rFonts w:ascii="Arial" w:eastAsia="Arial" w:hAnsi="Arial" w:cs="Arial"/>
          <w:sz w:val="20"/>
          <w:szCs w:val="20"/>
        </w:rPr>
        <w:t>Los programas de derechos sexuales y reproductivos, participación social, emprendimiento y prevención de las violencias beneficiaron a más de 1.100 mujeres y 25 organizaciones. Además, 1.268 mujeres recibieron atención inicial y apoyo para la recuperación frente a situaciones de violencia de género.</w:t>
      </w:r>
    </w:p>
    <w:p w14:paraId="762FC9C7" w14:textId="0C029E56" w:rsidR="00A91C67" w:rsidRDefault="0099416E" w:rsidP="00744FB6">
      <w:pPr>
        <w:spacing w:line="276" w:lineRule="auto"/>
        <w:ind w:firstLine="360"/>
        <w:jc w:val="both"/>
        <w:rPr>
          <w:rFonts w:ascii="Arial" w:eastAsia="Arial" w:hAnsi="Arial" w:cs="Arial"/>
          <w:sz w:val="20"/>
          <w:szCs w:val="20"/>
        </w:rPr>
      </w:pPr>
      <w:r w:rsidRPr="0099416E">
        <w:rPr>
          <w:rFonts w:ascii="Arial" w:eastAsia="Arial" w:hAnsi="Arial" w:cs="Arial"/>
          <w:sz w:val="20"/>
          <w:szCs w:val="20"/>
        </w:rPr>
        <w:t xml:space="preserve">Entre los hitos destacaron la extensión del Programa 4 a 7 durante la temporada estival, la incorporación de Río Hurtado al Programa Mujeres </w:t>
      </w:r>
      <w:proofErr w:type="gramStart"/>
      <w:r w:rsidRPr="0099416E">
        <w:rPr>
          <w:rFonts w:ascii="Arial" w:eastAsia="Arial" w:hAnsi="Arial" w:cs="Arial"/>
          <w:sz w:val="20"/>
          <w:szCs w:val="20"/>
        </w:rPr>
        <w:t>Jefas</w:t>
      </w:r>
      <w:proofErr w:type="gramEnd"/>
      <w:r w:rsidRPr="0099416E">
        <w:rPr>
          <w:rFonts w:ascii="Arial" w:eastAsia="Arial" w:hAnsi="Arial" w:cs="Arial"/>
          <w:sz w:val="20"/>
          <w:szCs w:val="20"/>
        </w:rPr>
        <w:t xml:space="preserve"> de Hogar y el fortalecimiento de cuatro Centros de las Mujeres, un centro especializado regional y una Residencia Transitoria para casos de riesgo grave o vital.</w:t>
      </w:r>
    </w:p>
    <w:p w14:paraId="26DDF79C" w14:textId="77777777" w:rsidR="005D4FAF" w:rsidRDefault="005D4FAF" w:rsidP="00744FB6">
      <w:pPr>
        <w:spacing w:line="276" w:lineRule="auto"/>
        <w:ind w:firstLine="360"/>
        <w:jc w:val="both"/>
        <w:rPr>
          <w:rFonts w:ascii="Arial" w:eastAsia="Arial" w:hAnsi="Arial" w:cs="Arial"/>
          <w:sz w:val="20"/>
          <w:szCs w:val="20"/>
        </w:rPr>
      </w:pPr>
    </w:p>
    <w:p w14:paraId="115DB59D" w14:textId="77777777" w:rsidR="0099416E" w:rsidRDefault="0099416E" w:rsidP="00744FB6">
      <w:pPr>
        <w:spacing w:line="276" w:lineRule="auto"/>
        <w:jc w:val="both"/>
        <w:rPr>
          <w:rFonts w:ascii="Arial" w:eastAsia="Arial" w:hAnsi="Arial" w:cs="Arial"/>
          <w:sz w:val="20"/>
          <w:szCs w:val="20"/>
        </w:rPr>
      </w:pPr>
    </w:p>
    <w:p w14:paraId="3419A243" w14:textId="48E0017E" w:rsidR="0099416E" w:rsidRDefault="00E73C0B" w:rsidP="00744FB6">
      <w:pPr>
        <w:pStyle w:val="Prrafodelista"/>
        <w:numPr>
          <w:ilvl w:val="0"/>
          <w:numId w:val="5"/>
        </w:numPr>
        <w:spacing w:line="276" w:lineRule="auto"/>
        <w:jc w:val="both"/>
        <w:rPr>
          <w:rFonts w:ascii="Arial" w:eastAsia="Arial" w:hAnsi="Arial" w:cs="Arial"/>
          <w:b/>
          <w:bCs/>
          <w:sz w:val="20"/>
          <w:szCs w:val="20"/>
        </w:rPr>
      </w:pPr>
      <w:r w:rsidRPr="00E73C0B">
        <w:rPr>
          <w:rFonts w:ascii="Arial" w:eastAsia="Arial" w:hAnsi="Arial" w:cs="Arial"/>
          <w:b/>
          <w:bCs/>
          <w:sz w:val="20"/>
          <w:szCs w:val="20"/>
        </w:rPr>
        <w:t>Economía, Fomento Y Turismo</w:t>
      </w:r>
    </w:p>
    <w:p w14:paraId="5BD38EEC" w14:textId="77777777" w:rsidR="004C0858" w:rsidRPr="00E73C0B" w:rsidRDefault="004C0858" w:rsidP="00744FB6">
      <w:pPr>
        <w:pStyle w:val="Prrafodelista"/>
        <w:spacing w:line="276" w:lineRule="auto"/>
        <w:jc w:val="both"/>
        <w:rPr>
          <w:rFonts w:ascii="Arial" w:eastAsia="Arial" w:hAnsi="Arial" w:cs="Arial"/>
          <w:b/>
          <w:bCs/>
          <w:sz w:val="20"/>
          <w:szCs w:val="20"/>
        </w:rPr>
      </w:pPr>
    </w:p>
    <w:p w14:paraId="2297B380" w14:textId="77777777" w:rsid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Durante 2025, la gestión económica regional combinó instrumentos de financiamiento, innovación, emprendimiento, apoyo a la pesca artesanal y promoción turística. La tasa anual de desocupación se mantuvo en 8,2%, mientras el número de personas ocupadas aumentó un 2,7%. Asimismo, ocho proyectos obtuvieron calificación ambiental favorable, con una inversión declarada de US$560 millones. Entre los principales hitos estuvo la constitución del Comité de Desarrollo Productivo Regional de Coquimbo, que permitió descentralizar las decisiones de fomento e innovación y movilizar más de $6.075 millones para 105 proyectos.</w:t>
      </w:r>
    </w:p>
    <w:p w14:paraId="63B6C998" w14:textId="63689343" w:rsidR="00E56BBA" w:rsidRPr="00860247" w:rsidRDefault="00E56BBA" w:rsidP="00744FB6">
      <w:pPr>
        <w:spacing w:line="276" w:lineRule="auto"/>
        <w:ind w:firstLine="360"/>
        <w:jc w:val="both"/>
        <w:rPr>
          <w:rFonts w:ascii="Arial" w:eastAsia="Arial" w:hAnsi="Arial" w:cs="Arial"/>
          <w:sz w:val="20"/>
          <w:szCs w:val="20"/>
        </w:rPr>
      </w:pPr>
      <w:r w:rsidRPr="00E56BBA">
        <w:rPr>
          <w:rFonts w:ascii="Arial" w:eastAsia="Arial" w:hAnsi="Arial" w:cs="Arial"/>
          <w:sz w:val="20"/>
          <w:szCs w:val="20"/>
        </w:rPr>
        <w:t>En el marco del Gabinete Pro-Crecimiento y Empleo se revisaron nueve proyectos de inversión privada, correspondientes a una cartera de US$1.349 millones. Ocho de ellos registraron avances mediante la coordinación de permisos sectoriales relacionados con métodos de explotación, botaderos, captación de aguas, accesos viales y recepción de obras, con participación de servicios públicos y municipios.</w:t>
      </w:r>
    </w:p>
    <w:p w14:paraId="69666E59" w14:textId="77777777" w:rsidR="00860247" w:rsidRP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lastRenderedPageBreak/>
        <w:t>CORFO ejecutó más de $9.784 millones, beneficiando a 1.847 personas y empresas mediante 231 proyectos e iniciativas de emprendimiento, innovación y fomento productivo. Además, respaldó 1.029 operaciones de garantía, facilitando créditos por más de $56.198 millones. El programa Transforma Hídrico destinó más de $2.758 millones a 109 iniciativas orientadas a mejorar la eficiencia en el uso del agua en la agricultura, minería, industria y turismo.</w:t>
      </w:r>
    </w:p>
    <w:p w14:paraId="334A3237" w14:textId="1BADDFAF" w:rsidR="00860247" w:rsidRP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SERCOTEC ejecutó más de $2.850 millones en recursos propios, con una cobertura informada de 3.926 atenciones o personas beneficiarias. Su oferta incluyó Capital Semilla, Capital Abeja, Pioneras, Crece, Digitaliza tu Almacén, Ferias Libres, Barrios Comerciales y Centros de Desarrollo de Negocios, además del fortalecimiento de cooperativas, gremios y organizaciones empresariales.</w:t>
      </w:r>
      <w:r w:rsidR="000821AC">
        <w:rPr>
          <w:rFonts w:ascii="Arial" w:eastAsia="Arial" w:hAnsi="Arial" w:cs="Arial"/>
          <w:sz w:val="20"/>
          <w:szCs w:val="20"/>
        </w:rPr>
        <w:t xml:space="preserve"> </w:t>
      </w:r>
      <w:r w:rsidR="000821AC" w:rsidRPr="000821AC">
        <w:rPr>
          <w:rFonts w:ascii="Arial" w:eastAsia="Arial" w:hAnsi="Arial" w:cs="Arial"/>
          <w:sz w:val="20"/>
          <w:szCs w:val="20"/>
        </w:rPr>
        <w:t>Mediante el Programa Pioneras, 33 emprendedoras recibieron apoyo para desarrollar negocios en rubros con menor participación femenina, como electrónica, construcción, mecánica automotriz y minería, con subsidios individuales de $3,5 millones.</w:t>
      </w:r>
    </w:p>
    <w:p w14:paraId="40753BC0" w14:textId="77777777" w:rsidR="00860247" w:rsidRP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INDESPA adjudicó 34 proyectos por más de $626 millones para apoyar el desarrollo productivo y asociativo de la pesca artesanal. La provincia de Elqui concentró 17 iniciativas por $334 millones; Choapa, nueve proyectos por $259 millones; y Limarí, ocho iniciativas por $33 millones.</w:t>
      </w:r>
    </w:p>
    <w:p w14:paraId="54E3C39D" w14:textId="77777777" w:rsidR="00860247" w:rsidRP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 xml:space="preserve">En materia de turismo, la conurbación La Serena-Coquimbo alcanzó una </w:t>
      </w:r>
      <w:proofErr w:type="spellStart"/>
      <w:r w:rsidRPr="00860247">
        <w:rPr>
          <w:rFonts w:ascii="Arial" w:eastAsia="Arial" w:hAnsi="Arial" w:cs="Arial"/>
          <w:sz w:val="20"/>
          <w:szCs w:val="20"/>
        </w:rPr>
        <w:t>ocupabilidad</w:t>
      </w:r>
      <w:proofErr w:type="spellEnd"/>
      <w:r w:rsidRPr="00860247">
        <w:rPr>
          <w:rFonts w:ascii="Arial" w:eastAsia="Arial" w:hAnsi="Arial" w:cs="Arial"/>
          <w:sz w:val="20"/>
          <w:szCs w:val="20"/>
        </w:rPr>
        <w:t xml:space="preserve"> de 89,5% durante febrero de 2025, mientras el Valle del Elqui registró un 81,3%. También se implementó una nueva imagen turística regional, elaborada con la participación de más de 500 actores, y los observatorios Cruz del Sur, </w:t>
      </w:r>
      <w:proofErr w:type="spellStart"/>
      <w:r w:rsidRPr="00860247">
        <w:rPr>
          <w:rFonts w:ascii="Arial" w:eastAsia="Arial" w:hAnsi="Arial" w:cs="Arial"/>
          <w:sz w:val="20"/>
          <w:szCs w:val="20"/>
        </w:rPr>
        <w:t>Mamalluca</w:t>
      </w:r>
      <w:proofErr w:type="spellEnd"/>
      <w:r w:rsidRPr="00860247">
        <w:rPr>
          <w:rFonts w:ascii="Arial" w:eastAsia="Arial" w:hAnsi="Arial" w:cs="Arial"/>
          <w:sz w:val="20"/>
          <w:szCs w:val="20"/>
        </w:rPr>
        <w:t xml:space="preserve"> y </w:t>
      </w:r>
      <w:proofErr w:type="spellStart"/>
      <w:r w:rsidRPr="00860247">
        <w:rPr>
          <w:rFonts w:ascii="Arial" w:eastAsia="Arial" w:hAnsi="Arial" w:cs="Arial"/>
          <w:sz w:val="20"/>
          <w:szCs w:val="20"/>
        </w:rPr>
        <w:t>Collowara</w:t>
      </w:r>
      <w:proofErr w:type="spellEnd"/>
      <w:r w:rsidRPr="00860247">
        <w:rPr>
          <w:rFonts w:ascii="Arial" w:eastAsia="Arial" w:hAnsi="Arial" w:cs="Arial"/>
          <w:sz w:val="20"/>
          <w:szCs w:val="20"/>
        </w:rPr>
        <w:t xml:space="preserve"> obtuvieron la certificación internacional Starlight. A ello se sumó el Segundo Encuentro Nacional de Gobernanzas Turísticas, que reunió a más de 300 participantes.</w:t>
      </w:r>
    </w:p>
    <w:p w14:paraId="27E66442" w14:textId="22A7AFDC" w:rsidR="00860247" w:rsidRP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 xml:space="preserve">SERNAPESCA mantuvo sus acciones de fiscalización de las actividades pesqueras y acuícolas, registrando una tasa de hallazgo de incumplimientos del 12%. Por su parte, SUBPESCA destacó la publicación de la Ley </w:t>
      </w:r>
      <w:proofErr w:type="spellStart"/>
      <w:r w:rsidRPr="00860247">
        <w:rPr>
          <w:rFonts w:ascii="Arial" w:eastAsia="Arial" w:hAnsi="Arial" w:cs="Arial"/>
          <w:sz w:val="20"/>
          <w:szCs w:val="20"/>
        </w:rPr>
        <w:t>N.°</w:t>
      </w:r>
      <w:proofErr w:type="spellEnd"/>
      <w:r w:rsidRPr="00860247">
        <w:rPr>
          <w:rFonts w:ascii="Arial" w:eastAsia="Arial" w:hAnsi="Arial" w:cs="Arial"/>
          <w:sz w:val="20"/>
          <w:szCs w:val="20"/>
        </w:rPr>
        <w:t xml:space="preserve"> 21.752, que modificó el fraccionamiento de las cuotas entre los sectores artesanal e industrial, junto con una cuota regional de jurel cercana a 23 mil toneladas.</w:t>
      </w:r>
      <w:r w:rsidR="0095433E">
        <w:rPr>
          <w:rFonts w:ascii="Arial" w:eastAsia="Arial" w:hAnsi="Arial" w:cs="Arial"/>
          <w:sz w:val="20"/>
          <w:szCs w:val="20"/>
        </w:rPr>
        <w:t xml:space="preserve"> </w:t>
      </w:r>
      <w:r w:rsidR="0095433E" w:rsidRPr="0095433E">
        <w:rPr>
          <w:rFonts w:ascii="Arial" w:eastAsia="Arial" w:hAnsi="Arial" w:cs="Arial"/>
          <w:sz w:val="20"/>
          <w:szCs w:val="20"/>
        </w:rPr>
        <w:t>También se constituyó la Mesa Regional de Mujeres en la Pesca Artesanal y Actividades Conexas, destinada a fortalecer su participación, autonomía económica y acceso a instrumentos de fomento.</w:t>
      </w:r>
    </w:p>
    <w:p w14:paraId="554A493E" w14:textId="54CBD904" w:rsidR="00860247"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 xml:space="preserve">La Superintendencia de Insolvencia y </w:t>
      </w:r>
      <w:proofErr w:type="spellStart"/>
      <w:r w:rsidRPr="00860247">
        <w:rPr>
          <w:rFonts w:ascii="Arial" w:eastAsia="Arial" w:hAnsi="Arial" w:cs="Arial"/>
          <w:sz w:val="20"/>
          <w:szCs w:val="20"/>
        </w:rPr>
        <w:t>Reemprendimiento</w:t>
      </w:r>
      <w:proofErr w:type="spellEnd"/>
      <w:r w:rsidRPr="00860247">
        <w:rPr>
          <w:rFonts w:ascii="Arial" w:eastAsia="Arial" w:hAnsi="Arial" w:cs="Arial"/>
          <w:sz w:val="20"/>
          <w:szCs w:val="20"/>
        </w:rPr>
        <w:t xml:space="preserve"> realizó 278 atenciones presenciales y, desde octubre de 2025, contó con una coordinación regional destinada a acercar los procedimientos de renegociación, liquidación y </w:t>
      </w:r>
      <w:proofErr w:type="spellStart"/>
      <w:r w:rsidRPr="00860247">
        <w:rPr>
          <w:rFonts w:ascii="Arial" w:eastAsia="Arial" w:hAnsi="Arial" w:cs="Arial"/>
          <w:sz w:val="20"/>
          <w:szCs w:val="20"/>
        </w:rPr>
        <w:t>reemprendimiento</w:t>
      </w:r>
      <w:proofErr w:type="spellEnd"/>
      <w:r w:rsidRPr="00860247">
        <w:rPr>
          <w:rFonts w:ascii="Arial" w:eastAsia="Arial" w:hAnsi="Arial" w:cs="Arial"/>
          <w:sz w:val="20"/>
          <w:szCs w:val="20"/>
        </w:rPr>
        <w:t xml:space="preserve">. </w:t>
      </w:r>
    </w:p>
    <w:p w14:paraId="266EA10B" w14:textId="3BC5A3D2" w:rsidR="000821AC" w:rsidRPr="00860247" w:rsidRDefault="000821AC" w:rsidP="00744FB6">
      <w:pPr>
        <w:spacing w:line="276" w:lineRule="auto"/>
        <w:ind w:firstLine="360"/>
        <w:jc w:val="both"/>
        <w:rPr>
          <w:rFonts w:ascii="Arial" w:eastAsia="Arial" w:hAnsi="Arial" w:cs="Arial"/>
          <w:sz w:val="20"/>
          <w:szCs w:val="20"/>
        </w:rPr>
      </w:pPr>
      <w:r w:rsidRPr="000821AC">
        <w:rPr>
          <w:rFonts w:ascii="Arial" w:eastAsia="Arial" w:hAnsi="Arial" w:cs="Arial"/>
          <w:sz w:val="20"/>
          <w:szCs w:val="20"/>
        </w:rPr>
        <w:t>Durante el primer semestre de 2025, las exportaciones regionales distintas del cobre y el litio alcanzaron US$599 millones, con un crecimiento de 46%. Destacaron los envíos de uvas frescas, clementinas, limones, productos pesqueros y acuícolas y pisco, fortaleciendo la diversificación de la matriz exportadora regional.</w:t>
      </w:r>
    </w:p>
    <w:p w14:paraId="1021E64A" w14:textId="01EFA3E0" w:rsidR="00EC6C11" w:rsidRPr="00BF3446" w:rsidRDefault="00860247" w:rsidP="00744FB6">
      <w:pPr>
        <w:spacing w:line="276" w:lineRule="auto"/>
        <w:ind w:firstLine="360"/>
        <w:jc w:val="both"/>
        <w:rPr>
          <w:rFonts w:ascii="Arial" w:eastAsia="Arial" w:hAnsi="Arial" w:cs="Arial"/>
          <w:sz w:val="20"/>
          <w:szCs w:val="20"/>
        </w:rPr>
      </w:pPr>
      <w:r w:rsidRPr="00860247">
        <w:rPr>
          <w:rFonts w:ascii="Arial" w:eastAsia="Arial" w:hAnsi="Arial" w:cs="Arial"/>
          <w:sz w:val="20"/>
          <w:szCs w:val="20"/>
        </w:rPr>
        <w:t>Finalmente, el Instituto Nacional de Estadísticas publicó los primeros resultados del Censo de Población y Vivienda 2024, que establecieron una población de 832.864 residentes habituales en la Región de Coquimbo.</w:t>
      </w:r>
    </w:p>
    <w:p w14:paraId="47D5BFB2" w14:textId="6E27E4B5" w:rsidR="00EC6C11" w:rsidRPr="00BF3446" w:rsidRDefault="00EC6C11" w:rsidP="00744FB6">
      <w:pPr>
        <w:spacing w:line="276" w:lineRule="auto"/>
        <w:jc w:val="both"/>
        <w:rPr>
          <w:rFonts w:ascii="Arial" w:eastAsia="Arial" w:hAnsi="Arial" w:cs="Arial"/>
          <w:sz w:val="20"/>
          <w:szCs w:val="20"/>
        </w:rPr>
      </w:pPr>
    </w:p>
    <w:p w14:paraId="5AAB2DAE" w14:textId="779C978A" w:rsidR="00C43AAC" w:rsidRPr="00146357" w:rsidRDefault="00AD6D83" w:rsidP="00744FB6">
      <w:pPr>
        <w:pStyle w:val="TableParagraph"/>
        <w:numPr>
          <w:ilvl w:val="0"/>
          <w:numId w:val="5"/>
        </w:numPr>
        <w:tabs>
          <w:tab w:val="left" w:pos="837"/>
        </w:tabs>
        <w:spacing w:line="276" w:lineRule="auto"/>
        <w:jc w:val="both"/>
        <w:rPr>
          <w:rFonts w:ascii="Arial" w:hAnsi="Arial" w:cs="Arial"/>
          <w:b/>
          <w:bCs/>
          <w:sz w:val="20"/>
          <w:szCs w:val="20"/>
          <w:lang w:val="es-CL"/>
        </w:rPr>
      </w:pPr>
      <w:r w:rsidRPr="00146357">
        <w:rPr>
          <w:rFonts w:ascii="Arial" w:hAnsi="Arial" w:cs="Arial"/>
          <w:b/>
          <w:bCs/>
          <w:sz w:val="20"/>
          <w:szCs w:val="20"/>
          <w:lang w:val="es-CL"/>
        </w:rPr>
        <w:t>Justicia y Derechos Humanos</w:t>
      </w:r>
    </w:p>
    <w:p w14:paraId="07981D07" w14:textId="77777777" w:rsidR="00322638" w:rsidRDefault="00322638" w:rsidP="00744FB6">
      <w:pPr>
        <w:pStyle w:val="TableParagraph"/>
        <w:tabs>
          <w:tab w:val="left" w:pos="837"/>
        </w:tabs>
        <w:spacing w:line="276" w:lineRule="auto"/>
        <w:jc w:val="both"/>
        <w:rPr>
          <w:rFonts w:ascii="Arial" w:hAnsi="Arial" w:cs="Arial"/>
          <w:sz w:val="20"/>
          <w:szCs w:val="20"/>
          <w:lang w:val="es-CL"/>
        </w:rPr>
      </w:pPr>
    </w:p>
    <w:p w14:paraId="240CDCB9" w14:textId="719E4DA9" w:rsidR="00725ED9" w:rsidRPr="00725ED9"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725ED9" w:rsidRPr="00725ED9">
        <w:rPr>
          <w:rFonts w:ascii="Arial" w:hAnsi="Arial" w:cs="Arial"/>
          <w:sz w:val="20"/>
          <w:szCs w:val="20"/>
          <w:lang w:val="es-CL"/>
        </w:rPr>
        <w:t xml:space="preserve">Durante 2025, el sector Justicia y Derechos Humanos fortaleció su infraestructura y presencia territorial. El Servicio de Registro Civil e Identificación inauguró una nueva oficina en Vicuña e implementó una </w:t>
      </w:r>
      <w:proofErr w:type="spellStart"/>
      <w:r w:rsidR="00725ED9" w:rsidRPr="00725ED9">
        <w:rPr>
          <w:rFonts w:ascii="Arial" w:hAnsi="Arial" w:cs="Arial"/>
          <w:sz w:val="20"/>
          <w:szCs w:val="20"/>
          <w:lang w:val="es-CL"/>
        </w:rPr>
        <w:t>Suboficina</w:t>
      </w:r>
      <w:proofErr w:type="spellEnd"/>
      <w:r w:rsidR="00725ED9" w:rsidRPr="00725ED9">
        <w:rPr>
          <w:rFonts w:ascii="Arial" w:hAnsi="Arial" w:cs="Arial"/>
          <w:sz w:val="20"/>
          <w:szCs w:val="20"/>
          <w:lang w:val="es-CL"/>
        </w:rPr>
        <w:t xml:space="preserve"> del Adulto Mayor en Coquimbo, facilitando el acceso preferente a trámites y servicios. También se mejoró la coordinación regional para la inhumación de personas fallecidas no identificadas.</w:t>
      </w:r>
    </w:p>
    <w:p w14:paraId="6C45C202" w14:textId="6EEAFD44" w:rsidR="00725ED9" w:rsidRPr="00725ED9" w:rsidRDefault="00322638"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725ED9" w:rsidRPr="00725ED9">
        <w:rPr>
          <w:rFonts w:ascii="Arial" w:hAnsi="Arial" w:cs="Arial"/>
          <w:sz w:val="20"/>
          <w:szCs w:val="20"/>
          <w:lang w:val="es-CL"/>
        </w:rPr>
        <w:t>En materia penitenciaria, se elaboró el Plan Maestro de Infraestructura y Seguridad Penitenciaria, que incorporó la ampliación y densificación del establecimiento penal concesionado para aumentar la capacidad regional. Además, se obtuvo financiamiento del Gobierno Regional para adquirir un carro blindado destinado a Gendarmería de Chile.</w:t>
      </w:r>
    </w:p>
    <w:p w14:paraId="25BD3348" w14:textId="740CEBB9" w:rsidR="00725ED9" w:rsidRPr="00725ED9" w:rsidRDefault="00322638"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lastRenderedPageBreak/>
        <w:tab/>
      </w:r>
      <w:r w:rsidR="00725ED9" w:rsidRPr="00725ED9">
        <w:rPr>
          <w:rFonts w:ascii="Arial" w:hAnsi="Arial" w:cs="Arial"/>
          <w:sz w:val="20"/>
          <w:szCs w:val="20"/>
          <w:lang w:val="es-CL"/>
        </w:rPr>
        <w:t>El Servicio Nacional de Reinserción Social Juvenil inauguró dos nuevos espacios en el Centro de Internación Provisoria e Internación en Régimen Cerrado: una sala terapéutica y una sala de música, financiadas por el Gobierno Regional. Asimismo, se fortaleció la coordinación con SENAPRED para actualizar los planes de emergencia de los servicios del sector y comenzó el trabajo regional de la Comisión Verdad y Niñez.</w:t>
      </w:r>
    </w:p>
    <w:p w14:paraId="242FFEA6" w14:textId="2EBC108B" w:rsidR="00AD6D83"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725ED9" w:rsidRPr="00725ED9">
        <w:rPr>
          <w:rFonts w:ascii="Arial" w:hAnsi="Arial" w:cs="Arial"/>
          <w:sz w:val="20"/>
          <w:szCs w:val="20"/>
          <w:lang w:val="es-CL"/>
        </w:rPr>
        <w:t>La Seremi desarrolló diagnósticos para fortalecer la gestión del sistema judicial, incluyendo un estudio sobre reprogramación de audiencias penales, la trazabilidad de causas de violencia intrafamiliar derivadas desde los Tribunales de Familia y el rechazo de acuerdos de mediación familiar. También se actualizaron las carpetas de personas condenadas para mejorar los procesos de evaluación de rebajas de condena y se desplegaron actividades de acceso a la justicia en las quince comunas.</w:t>
      </w:r>
    </w:p>
    <w:p w14:paraId="7CB12340" w14:textId="77777777" w:rsidR="00146357" w:rsidRPr="00BF3446" w:rsidRDefault="00146357" w:rsidP="00744FB6">
      <w:pPr>
        <w:pStyle w:val="TableParagraph"/>
        <w:tabs>
          <w:tab w:val="left" w:pos="837"/>
        </w:tabs>
        <w:spacing w:line="276" w:lineRule="auto"/>
        <w:jc w:val="both"/>
        <w:rPr>
          <w:rFonts w:ascii="Arial" w:hAnsi="Arial" w:cs="Arial"/>
          <w:sz w:val="20"/>
          <w:szCs w:val="20"/>
          <w:lang w:val="es-CL"/>
        </w:rPr>
      </w:pPr>
    </w:p>
    <w:p w14:paraId="3B7CF248" w14:textId="03DB149B" w:rsidR="00C43AAC" w:rsidRPr="00146357" w:rsidRDefault="00146357" w:rsidP="00744FB6">
      <w:pPr>
        <w:pStyle w:val="TableParagraph"/>
        <w:numPr>
          <w:ilvl w:val="0"/>
          <w:numId w:val="5"/>
        </w:numPr>
        <w:tabs>
          <w:tab w:val="left" w:pos="837"/>
        </w:tabs>
        <w:spacing w:line="276" w:lineRule="auto"/>
        <w:jc w:val="both"/>
        <w:rPr>
          <w:rFonts w:ascii="Arial" w:hAnsi="Arial" w:cs="Arial"/>
          <w:b/>
          <w:bCs/>
          <w:sz w:val="20"/>
          <w:szCs w:val="20"/>
          <w:lang w:val="es-CL"/>
        </w:rPr>
      </w:pPr>
      <w:r w:rsidRPr="00146357">
        <w:rPr>
          <w:rFonts w:ascii="Arial" w:hAnsi="Arial" w:cs="Arial"/>
          <w:b/>
          <w:bCs/>
          <w:sz w:val="20"/>
          <w:szCs w:val="20"/>
          <w:lang w:val="es-CL"/>
        </w:rPr>
        <w:t>Educación</w:t>
      </w:r>
    </w:p>
    <w:p w14:paraId="6E048D89" w14:textId="77777777" w:rsidR="00322638" w:rsidRDefault="00322638" w:rsidP="00744FB6">
      <w:pPr>
        <w:pStyle w:val="TableParagraph"/>
        <w:tabs>
          <w:tab w:val="left" w:pos="837"/>
        </w:tabs>
        <w:spacing w:line="276" w:lineRule="auto"/>
        <w:jc w:val="both"/>
        <w:rPr>
          <w:rFonts w:ascii="Arial" w:hAnsi="Arial" w:cs="Arial"/>
          <w:sz w:val="20"/>
          <w:szCs w:val="20"/>
          <w:lang w:val="es-CL"/>
        </w:rPr>
      </w:pPr>
    </w:p>
    <w:p w14:paraId="3098CE1D" w14:textId="3FB6AC4B" w:rsidR="00146357" w:rsidRPr="00146357"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146357" w:rsidRPr="00146357">
        <w:rPr>
          <w:rFonts w:ascii="Arial" w:hAnsi="Arial" w:cs="Arial"/>
          <w:sz w:val="20"/>
          <w:szCs w:val="20"/>
          <w:lang w:val="es-CL"/>
        </w:rPr>
        <w:t>Durante 2025, la Región de Coquimbo recibió más de $433.744 millones en subvenciones escolares y aportes complementarios, beneficiando a 691 establecimientos educacionales y 187.066 estudiantes. Estos recursos incluyeron subvención regular, Programa de Integración Escolar, Subvención Escolar Preferencial, mantenimiento, retención y otros aportes destinados al funcionamiento del sistema educativo.</w:t>
      </w:r>
    </w:p>
    <w:p w14:paraId="255DB900" w14:textId="69E22CB7" w:rsidR="00146357" w:rsidRPr="00146357" w:rsidRDefault="00322638"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146357" w:rsidRPr="00146357">
        <w:rPr>
          <w:rFonts w:ascii="Arial" w:hAnsi="Arial" w:cs="Arial"/>
          <w:sz w:val="20"/>
          <w:szCs w:val="20"/>
          <w:lang w:val="es-CL"/>
        </w:rPr>
        <w:t>El proyecto Protagonistas del Cambio incorporó a 46 establecimientos y 150 profesionales, con una inversión superior a $184 millones, fortaleciendo la innovación pedagógica y el Aprendizaje Basado en Proyectos. Considerando el período 2023-2025, la iniciativa alcanzó a 107 establecimientos de la región.</w:t>
      </w:r>
    </w:p>
    <w:p w14:paraId="6411389B" w14:textId="71BD7A1D" w:rsidR="00146357" w:rsidRPr="00146357" w:rsidRDefault="00322638"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146357" w:rsidRPr="00146357">
        <w:rPr>
          <w:rFonts w:ascii="Arial" w:hAnsi="Arial" w:cs="Arial"/>
          <w:sz w:val="20"/>
          <w:szCs w:val="20"/>
          <w:lang w:val="es-CL"/>
        </w:rPr>
        <w:t>En conectividad y acceso territorial, se adjudicaron recursos para transporte escolar rural en Monte Patria, Salamanca, Combarbalá, Illapel y Los Vilos. A ello se sumaron más de $1.369 millones del Fondo de Apoyo a la Educación Pública, destinados a transporte escolar y servicios de apoyo en nueve comunas rurales.</w:t>
      </w:r>
    </w:p>
    <w:p w14:paraId="183191C4" w14:textId="52B81D1B" w:rsidR="00C43AAC" w:rsidRPr="00BF3446" w:rsidRDefault="00322638"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146357" w:rsidRPr="00146357">
        <w:rPr>
          <w:rFonts w:ascii="Arial" w:hAnsi="Arial" w:cs="Arial"/>
          <w:sz w:val="20"/>
          <w:szCs w:val="20"/>
          <w:lang w:val="es-CL"/>
        </w:rPr>
        <w:t>También se avanzó en el traspaso de establecimientos al Servicio Local de Educación Pública Elqui y en el cierre administrativo de los fondos FAEP. Estas acciones permitieron sostener la continuidad educativa y preparar la implementación de la Nueva Educación Pública en las comunas incorporadas al nuevo servicio</w:t>
      </w:r>
    </w:p>
    <w:p w14:paraId="74AD0E6B" w14:textId="577CD34D" w:rsidR="00C43AAC" w:rsidRPr="00C37193" w:rsidRDefault="00C43AAC" w:rsidP="00744FB6">
      <w:pPr>
        <w:pStyle w:val="TableParagraph"/>
        <w:tabs>
          <w:tab w:val="left" w:pos="837"/>
        </w:tabs>
        <w:spacing w:line="276" w:lineRule="auto"/>
        <w:ind w:left="0"/>
        <w:jc w:val="both"/>
        <w:rPr>
          <w:rFonts w:ascii="Arial" w:hAnsi="Arial" w:cs="Arial"/>
          <w:b/>
          <w:bCs/>
          <w:sz w:val="20"/>
          <w:szCs w:val="20"/>
          <w:lang w:val="es-CL"/>
        </w:rPr>
      </w:pPr>
    </w:p>
    <w:p w14:paraId="258D60EA" w14:textId="2F57E475" w:rsidR="00C37193" w:rsidRPr="00BF3446" w:rsidRDefault="00C37193" w:rsidP="00744FB6">
      <w:pPr>
        <w:pStyle w:val="TableParagraph"/>
        <w:numPr>
          <w:ilvl w:val="0"/>
          <w:numId w:val="5"/>
        </w:numPr>
        <w:tabs>
          <w:tab w:val="left" w:pos="837"/>
        </w:tabs>
        <w:spacing w:line="276" w:lineRule="auto"/>
        <w:jc w:val="both"/>
        <w:rPr>
          <w:rFonts w:ascii="Arial" w:hAnsi="Arial" w:cs="Arial"/>
          <w:sz w:val="20"/>
          <w:szCs w:val="20"/>
          <w:lang w:val="es-CL"/>
        </w:rPr>
      </w:pPr>
      <w:r w:rsidRPr="00C37193">
        <w:rPr>
          <w:rFonts w:ascii="Arial" w:hAnsi="Arial" w:cs="Arial"/>
          <w:b/>
          <w:bCs/>
          <w:sz w:val="20"/>
          <w:szCs w:val="20"/>
          <w:lang w:val="es-CL"/>
        </w:rPr>
        <w:t>Trabajo y Previsión social</w:t>
      </w:r>
    </w:p>
    <w:p w14:paraId="0330F3F0" w14:textId="77777777" w:rsidR="00956C12" w:rsidRPr="00956C12" w:rsidRDefault="00956C12" w:rsidP="00744FB6">
      <w:pPr>
        <w:pStyle w:val="TableParagraph"/>
        <w:tabs>
          <w:tab w:val="left" w:pos="837"/>
        </w:tabs>
        <w:spacing w:line="276" w:lineRule="auto"/>
        <w:jc w:val="both"/>
        <w:rPr>
          <w:rFonts w:ascii="Arial" w:hAnsi="Arial" w:cs="Arial"/>
          <w:b/>
          <w:bCs/>
          <w:sz w:val="20"/>
          <w:szCs w:val="20"/>
          <w:lang w:val="es-CL"/>
        </w:rPr>
      </w:pPr>
    </w:p>
    <w:p w14:paraId="22E2DCCC" w14:textId="7C417BFB" w:rsidR="00C241BE" w:rsidRPr="00C241BE" w:rsidRDefault="00322638" w:rsidP="00744FB6">
      <w:pPr>
        <w:pStyle w:val="TableParagraph"/>
        <w:tabs>
          <w:tab w:val="left" w:pos="837"/>
        </w:tabs>
        <w:spacing w:line="276" w:lineRule="auto"/>
        <w:jc w:val="both"/>
        <w:rPr>
          <w:rFonts w:ascii="Arial" w:hAnsi="Arial" w:cs="Arial"/>
          <w:sz w:val="20"/>
          <w:szCs w:val="20"/>
        </w:rPr>
      </w:pPr>
      <w:r>
        <w:rPr>
          <w:rFonts w:ascii="Arial" w:hAnsi="Arial" w:cs="Arial"/>
          <w:sz w:val="20"/>
          <w:szCs w:val="20"/>
          <w:lang w:val="es-CL"/>
        </w:rPr>
        <w:tab/>
      </w:r>
      <w:r w:rsidR="00956C12" w:rsidRPr="00956C12">
        <w:rPr>
          <w:rFonts w:ascii="Arial" w:hAnsi="Arial" w:cs="Arial"/>
          <w:sz w:val="20"/>
          <w:szCs w:val="20"/>
          <w:lang w:val="es-CL"/>
        </w:rPr>
        <w:t>Durante 2025, la cartera de Trabajo y Previsión Social avanzó en acceso al empleo, capacitación, seguridad social, prevención de riesgos laborales y financiamiento público, mediante el trabajo de sus distintos servicios asociados.</w:t>
      </w:r>
      <w:r w:rsidR="00C241BE">
        <w:rPr>
          <w:rFonts w:ascii="Arial" w:hAnsi="Arial" w:cs="Arial"/>
          <w:sz w:val="20"/>
          <w:szCs w:val="20"/>
          <w:lang w:val="es-CL"/>
        </w:rPr>
        <w:t xml:space="preserve"> </w:t>
      </w:r>
      <w:r w:rsidR="00C241BE" w:rsidRPr="00C241BE">
        <w:rPr>
          <w:rFonts w:ascii="Arial" w:hAnsi="Arial" w:cs="Arial"/>
          <w:sz w:val="20"/>
          <w:szCs w:val="20"/>
        </w:rPr>
        <w:t xml:space="preserve">Durante 2025 se avanzó en la implementación regional de políticas destinadas a mejorar los ingresos, las condiciones laborales y la protección previsional. El reajuste del ingreso mínimo mensual estableció un aumento a $529 mil desde mayo de 2025 y a $539 mil desde enero de 2026, con especial impacto en trabajadores de los sectores comercio, servicios y agricultura. </w:t>
      </w:r>
    </w:p>
    <w:p w14:paraId="743D4823" w14:textId="773E50F4" w:rsidR="00C241BE" w:rsidRPr="00C241BE" w:rsidRDefault="00322638" w:rsidP="00744FB6">
      <w:pPr>
        <w:pStyle w:val="TableParagraph"/>
        <w:tabs>
          <w:tab w:val="left" w:pos="837"/>
        </w:tabs>
        <w:spacing w:line="276" w:lineRule="auto"/>
        <w:jc w:val="both"/>
        <w:rPr>
          <w:rFonts w:ascii="Arial" w:hAnsi="Arial" w:cs="Arial"/>
          <w:sz w:val="20"/>
          <w:szCs w:val="20"/>
        </w:rPr>
      </w:pPr>
      <w:r>
        <w:rPr>
          <w:rFonts w:ascii="Arial" w:hAnsi="Arial" w:cs="Arial"/>
          <w:sz w:val="20"/>
          <w:szCs w:val="20"/>
        </w:rPr>
        <w:tab/>
      </w:r>
      <w:r w:rsidR="00C241BE" w:rsidRPr="00C241BE">
        <w:rPr>
          <w:rFonts w:ascii="Arial" w:hAnsi="Arial" w:cs="Arial"/>
          <w:sz w:val="20"/>
          <w:szCs w:val="20"/>
        </w:rPr>
        <w:t>Asimismo, se acompañó la aplicación gradual de la Ley de 40 Horas mediante acciones de difusión, orientación y reconocimiento a empresas que redujeron anticipadamente su jornada laboral.</w:t>
      </w:r>
    </w:p>
    <w:p w14:paraId="31D45822" w14:textId="64C048C1" w:rsidR="00956C12" w:rsidRPr="00956C12"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6C12" w:rsidRPr="00956C12">
        <w:rPr>
          <w:rFonts w:ascii="Arial" w:hAnsi="Arial" w:cs="Arial"/>
          <w:sz w:val="20"/>
          <w:szCs w:val="20"/>
          <w:lang w:val="es-CL"/>
        </w:rPr>
        <w:t>La Dirección General del Crédito Prendario, DICREP, otorgó 29.075 créditos prendarios a 9.638 personas, con una colocación total superior a $3.258 millones y un nivel de recuperación de 95,24%. Además, realizó 21 remates de prendas de plazo vencido, con una adjudicación superior a $1.109 millones, y cuatro remates fiscales y judiciales por $143 millones.</w:t>
      </w:r>
    </w:p>
    <w:p w14:paraId="3A45E4E9" w14:textId="13663BED" w:rsidR="00956C12" w:rsidRPr="00956C12"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6C12" w:rsidRPr="00956C12">
        <w:rPr>
          <w:rFonts w:ascii="Arial" w:hAnsi="Arial" w:cs="Arial"/>
          <w:sz w:val="20"/>
          <w:szCs w:val="20"/>
          <w:lang w:val="es-CL"/>
        </w:rPr>
        <w:t xml:space="preserve">La institución también ejecutó la primera etapa de conservación de su edificio patrimonial </w:t>
      </w:r>
      <w:r w:rsidR="00956C12" w:rsidRPr="00956C12">
        <w:rPr>
          <w:rFonts w:ascii="Arial" w:hAnsi="Arial" w:cs="Arial"/>
          <w:sz w:val="20"/>
          <w:szCs w:val="20"/>
          <w:lang w:val="es-CL"/>
        </w:rPr>
        <w:lastRenderedPageBreak/>
        <w:t>en La Serena, mediante una inversión superior a $1.400 millones. Las obras permitieron recuperar la fachada, cubierta, ventanales, puertas, rejas y otros elementos deteriorados del inmueble.</w:t>
      </w:r>
    </w:p>
    <w:p w14:paraId="05CA7105" w14:textId="134175BF" w:rsidR="00956C12" w:rsidRPr="00956C12"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6C12" w:rsidRPr="00956C12">
        <w:rPr>
          <w:rFonts w:ascii="Arial" w:hAnsi="Arial" w:cs="Arial"/>
          <w:sz w:val="20"/>
          <w:szCs w:val="20"/>
          <w:lang w:val="es-CL"/>
        </w:rPr>
        <w:t xml:space="preserve">El Instituto de Previsión Social, IPS, avanzó en la ampliación de su cobertura territorial mediante la instalación de tres Centros de Atención Virtual en Coquimbo, la localidad de Hurtado, en Río Hurtado, y </w:t>
      </w:r>
      <w:proofErr w:type="spellStart"/>
      <w:r w:rsidR="00956C12" w:rsidRPr="00956C12">
        <w:rPr>
          <w:rFonts w:ascii="Arial" w:hAnsi="Arial" w:cs="Arial"/>
          <w:sz w:val="20"/>
          <w:szCs w:val="20"/>
          <w:lang w:val="es-CL"/>
        </w:rPr>
        <w:t>Quilimarí</w:t>
      </w:r>
      <w:proofErr w:type="spellEnd"/>
      <w:r w:rsidR="00956C12" w:rsidRPr="00956C12">
        <w:rPr>
          <w:rFonts w:ascii="Arial" w:hAnsi="Arial" w:cs="Arial"/>
          <w:sz w:val="20"/>
          <w:szCs w:val="20"/>
          <w:lang w:val="es-CL"/>
        </w:rPr>
        <w:t>, en Los Vilos. Estos espacios permiten acceder a beneficios y trámites previsionales en localidades que no cuentan con oficinas permanentes del servicio.</w:t>
      </w:r>
    </w:p>
    <w:p w14:paraId="40D3B33E" w14:textId="7713B39D" w:rsidR="00956C12" w:rsidRPr="00956C12"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6C12" w:rsidRPr="00956C12">
        <w:rPr>
          <w:rFonts w:ascii="Arial" w:hAnsi="Arial" w:cs="Arial"/>
          <w:sz w:val="20"/>
          <w:szCs w:val="20"/>
          <w:lang w:val="es-CL"/>
        </w:rPr>
        <w:t>El Servicio Nacional de Capacitación y Empleo, SENCE, informó un aumento de 12,7% en la colocación de personas en empleos formales. Su gestión se orientó a fortalecer la pertinencia territorial de la capacitación, incorporar formación técnica y digital y mejorar la habilitación laboral de las personas participantes.</w:t>
      </w:r>
    </w:p>
    <w:p w14:paraId="79DC6074" w14:textId="2CEC588B" w:rsidR="00956C12" w:rsidRPr="00956C12"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6C12" w:rsidRPr="00956C12">
        <w:rPr>
          <w:rFonts w:ascii="Arial" w:hAnsi="Arial" w:cs="Arial"/>
          <w:sz w:val="20"/>
          <w:szCs w:val="20"/>
          <w:lang w:val="es-CL"/>
        </w:rPr>
        <w:t xml:space="preserve">El Instituto de Seguridad Laboral, ISL, desarrolló actividades de capacitación y asistencia preventiva sobre la Ley </w:t>
      </w:r>
      <w:proofErr w:type="spellStart"/>
      <w:r w:rsidR="00956C12" w:rsidRPr="00956C12">
        <w:rPr>
          <w:rFonts w:ascii="Arial" w:hAnsi="Arial" w:cs="Arial"/>
          <w:sz w:val="20"/>
          <w:szCs w:val="20"/>
          <w:lang w:val="es-CL"/>
        </w:rPr>
        <w:t>N.°</w:t>
      </w:r>
      <w:proofErr w:type="spellEnd"/>
      <w:r w:rsidR="00956C12" w:rsidRPr="00956C12">
        <w:rPr>
          <w:rFonts w:ascii="Arial" w:hAnsi="Arial" w:cs="Arial"/>
          <w:sz w:val="20"/>
          <w:szCs w:val="20"/>
          <w:lang w:val="es-CL"/>
        </w:rPr>
        <w:t xml:space="preserve"> 16.744, la Ley Karin, el Convenio 190, seguro escolar, riesgos asociados a trabajos en altura y seguridad para personas trabajadoras a honorarios. Las principales actividades de difusión reunieron a 817 participantes en comunas como La Serena, Coquimbo, Illapel, Andacollo, Monte Patria y Salamanca.</w:t>
      </w:r>
    </w:p>
    <w:p w14:paraId="166D41E5" w14:textId="77777777" w:rsidR="00956C12" w:rsidRPr="00956C12" w:rsidRDefault="00956C12" w:rsidP="00744FB6">
      <w:pPr>
        <w:pStyle w:val="TableParagraph"/>
        <w:tabs>
          <w:tab w:val="left" w:pos="837"/>
        </w:tabs>
        <w:spacing w:line="276" w:lineRule="auto"/>
        <w:jc w:val="both"/>
        <w:rPr>
          <w:rFonts w:ascii="Arial" w:hAnsi="Arial" w:cs="Arial"/>
          <w:sz w:val="20"/>
          <w:szCs w:val="20"/>
          <w:lang w:val="es-CL"/>
        </w:rPr>
      </w:pPr>
    </w:p>
    <w:p w14:paraId="5A7D4E12" w14:textId="77777777" w:rsidR="00956C12" w:rsidRPr="00956C12" w:rsidRDefault="00956C12" w:rsidP="00744FB6">
      <w:pPr>
        <w:pStyle w:val="TableParagraph"/>
        <w:tabs>
          <w:tab w:val="left" w:pos="837"/>
        </w:tabs>
        <w:spacing w:line="276" w:lineRule="auto"/>
        <w:ind w:left="0"/>
        <w:jc w:val="both"/>
        <w:rPr>
          <w:rFonts w:ascii="Arial" w:hAnsi="Arial" w:cs="Arial"/>
          <w:sz w:val="20"/>
          <w:szCs w:val="20"/>
        </w:rPr>
      </w:pPr>
    </w:p>
    <w:p w14:paraId="55FFDE62" w14:textId="762D099F" w:rsidR="00957DEB" w:rsidRDefault="00957DEB" w:rsidP="00744FB6">
      <w:pPr>
        <w:pStyle w:val="TableParagraph"/>
        <w:numPr>
          <w:ilvl w:val="0"/>
          <w:numId w:val="5"/>
        </w:numPr>
        <w:tabs>
          <w:tab w:val="left" w:pos="837"/>
        </w:tabs>
        <w:spacing w:line="276" w:lineRule="auto"/>
        <w:jc w:val="both"/>
        <w:rPr>
          <w:rFonts w:ascii="Arial" w:hAnsi="Arial" w:cs="Arial"/>
          <w:b/>
          <w:bCs/>
          <w:sz w:val="20"/>
          <w:szCs w:val="20"/>
          <w:lang w:val="es-CL"/>
        </w:rPr>
      </w:pPr>
      <w:r w:rsidRPr="00E60D60">
        <w:rPr>
          <w:rFonts w:ascii="Arial" w:hAnsi="Arial" w:cs="Arial"/>
          <w:b/>
          <w:bCs/>
          <w:sz w:val="20"/>
          <w:szCs w:val="20"/>
          <w:lang w:val="es-CL"/>
        </w:rPr>
        <w:t>Seremi de Medio Ambiente</w:t>
      </w:r>
    </w:p>
    <w:p w14:paraId="3D2A0F6F" w14:textId="77777777" w:rsidR="008259E4" w:rsidRDefault="008259E4" w:rsidP="00744FB6">
      <w:pPr>
        <w:pStyle w:val="TableParagraph"/>
        <w:tabs>
          <w:tab w:val="left" w:pos="837"/>
        </w:tabs>
        <w:spacing w:line="276" w:lineRule="auto"/>
        <w:ind w:left="720"/>
        <w:jc w:val="both"/>
        <w:rPr>
          <w:rFonts w:ascii="Arial" w:hAnsi="Arial" w:cs="Arial"/>
          <w:b/>
          <w:bCs/>
          <w:sz w:val="20"/>
          <w:szCs w:val="20"/>
          <w:lang w:val="es-CL"/>
        </w:rPr>
      </w:pPr>
    </w:p>
    <w:p w14:paraId="54034312" w14:textId="4E83A466" w:rsidR="00957DEB" w:rsidRPr="0066662C"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7DEB" w:rsidRPr="0066662C">
        <w:rPr>
          <w:rFonts w:ascii="Arial" w:hAnsi="Arial" w:cs="Arial"/>
          <w:sz w:val="20"/>
          <w:szCs w:val="20"/>
          <w:lang w:val="es-CL"/>
        </w:rPr>
        <w:t xml:space="preserve">Durante 2025, la Seremi del Medio Ambiente fortaleció la economía circular y la gestión de residuos mediante proyectos del Fondo para el Reciclaje en Vicuña y Monte Patria. En Vicuña se implementó un plan piloto de separación de residuos orgánicos que benefició a 160 familias, con la entrega de 80 </w:t>
      </w:r>
      <w:proofErr w:type="spellStart"/>
      <w:r w:rsidR="00957DEB" w:rsidRPr="0066662C">
        <w:rPr>
          <w:rFonts w:ascii="Arial" w:hAnsi="Arial" w:cs="Arial"/>
          <w:sz w:val="20"/>
          <w:szCs w:val="20"/>
          <w:lang w:val="es-CL"/>
        </w:rPr>
        <w:t>vermicomposteras</w:t>
      </w:r>
      <w:proofErr w:type="spellEnd"/>
      <w:r w:rsidR="00957DEB" w:rsidRPr="0066662C">
        <w:rPr>
          <w:rFonts w:ascii="Arial" w:hAnsi="Arial" w:cs="Arial"/>
          <w:sz w:val="20"/>
          <w:szCs w:val="20"/>
          <w:lang w:val="es-CL"/>
        </w:rPr>
        <w:t xml:space="preserve"> y cuatro composteras comunitarias. También se realizó la primera Cumbre Regional de Economía Circular y se capacitó a 35 empresas en normativa ambiental, Objetivos de Desarrollo Sostenible y economía circular.</w:t>
      </w:r>
    </w:p>
    <w:p w14:paraId="1CBA98F4" w14:textId="6D0B170E" w:rsidR="00957DEB" w:rsidRPr="0066662C" w:rsidRDefault="00322638" w:rsidP="00744FB6">
      <w:pPr>
        <w:pStyle w:val="TableParagraph"/>
        <w:tabs>
          <w:tab w:val="left" w:pos="837"/>
        </w:tabs>
        <w:spacing w:line="276" w:lineRule="auto"/>
        <w:jc w:val="both"/>
        <w:rPr>
          <w:rFonts w:ascii="Arial" w:hAnsi="Arial" w:cs="Arial"/>
          <w:sz w:val="20"/>
          <w:szCs w:val="20"/>
          <w:lang w:val="es-CL"/>
        </w:rPr>
      </w:pPr>
      <w:r>
        <w:rPr>
          <w:rFonts w:ascii="Arial" w:hAnsi="Arial" w:cs="Arial"/>
          <w:sz w:val="20"/>
          <w:szCs w:val="20"/>
          <w:lang w:val="es-CL"/>
        </w:rPr>
        <w:tab/>
      </w:r>
      <w:r w:rsidR="00957DEB" w:rsidRPr="0066662C">
        <w:rPr>
          <w:rFonts w:ascii="Arial" w:hAnsi="Arial" w:cs="Arial"/>
          <w:sz w:val="20"/>
          <w:szCs w:val="20"/>
          <w:lang w:val="es-CL"/>
        </w:rPr>
        <w:t>A través del Fondo de Protección Ambiental se ejecutaron siete proyectos por $42 millones en La Serena, Coquimbo, Vicuña, Paihuano y Monte Patria. Asimismo, 33 establecimientos de diez comunas obtuvieron certificación ambiental, permitiendo que la región alcanzara 78 establecimientos con certificación vigente.</w:t>
      </w:r>
    </w:p>
    <w:p w14:paraId="0640EBA2" w14:textId="35B1997C" w:rsidR="00957DEB" w:rsidRPr="0066662C" w:rsidRDefault="008259E4"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66662C">
        <w:rPr>
          <w:rFonts w:ascii="Arial" w:hAnsi="Arial" w:cs="Arial"/>
          <w:sz w:val="20"/>
          <w:szCs w:val="20"/>
          <w:lang w:val="es-CL"/>
        </w:rPr>
        <w:t>En acción climática, finalizó la elaboración del Plan de Acción Regional de Cambio Climático, desarrollado entre 2022 y 2025 mediante una inversión superior a $122 millones. El instrumento contempla 24 medidas para el período 2025-2030 y establece como meta reducir en un 20% las emisiones regionales de gases de efecto invernadero, priorizando los sectores de transporte, energía, agricultura y residuos.</w:t>
      </w:r>
    </w:p>
    <w:p w14:paraId="1FA022C0" w14:textId="75990C03" w:rsidR="00957DEB" w:rsidRPr="0066662C" w:rsidRDefault="008259E4"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66662C">
        <w:rPr>
          <w:rFonts w:ascii="Arial" w:hAnsi="Arial" w:cs="Arial"/>
          <w:sz w:val="20"/>
          <w:szCs w:val="20"/>
          <w:lang w:val="es-CL"/>
        </w:rPr>
        <w:t xml:space="preserve">En regulación ambiental se mantuvo el monitoreo de la calidad del aire en Andacollo, </w:t>
      </w:r>
      <w:proofErr w:type="spellStart"/>
      <w:r w:rsidR="00957DEB" w:rsidRPr="0066662C">
        <w:rPr>
          <w:rFonts w:ascii="Arial" w:hAnsi="Arial" w:cs="Arial"/>
          <w:sz w:val="20"/>
          <w:szCs w:val="20"/>
          <w:lang w:val="es-CL"/>
        </w:rPr>
        <w:t>Cuncumén</w:t>
      </w:r>
      <w:proofErr w:type="spellEnd"/>
      <w:r w:rsidR="00957DEB" w:rsidRPr="0066662C">
        <w:rPr>
          <w:rFonts w:ascii="Arial" w:hAnsi="Arial" w:cs="Arial"/>
          <w:sz w:val="20"/>
          <w:szCs w:val="20"/>
          <w:lang w:val="es-CL"/>
        </w:rPr>
        <w:t xml:space="preserve"> y la conurbación La Serena-Coquimbo. Las mediciones de 2025 mantuvieron a Andacollo bajo la norma vigente de MP10, aunque en condición de latencia, y se avanzó en la actualización de su Plan de Descontaminación Atmosférica.</w:t>
      </w:r>
    </w:p>
    <w:p w14:paraId="1265DB6A" w14:textId="426E7CAD" w:rsidR="00957DEB" w:rsidRDefault="008259E4" w:rsidP="00332A34">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66662C">
        <w:rPr>
          <w:rFonts w:ascii="Arial" w:hAnsi="Arial" w:cs="Arial"/>
          <w:sz w:val="20"/>
          <w:szCs w:val="20"/>
          <w:lang w:val="es-CL"/>
        </w:rPr>
        <w:t xml:space="preserve">También se avanzó en la protección de la biodiversidad y los recursos naturales mediante la declaración de los humedales urbanos de </w:t>
      </w:r>
      <w:proofErr w:type="spellStart"/>
      <w:r w:rsidR="00957DEB" w:rsidRPr="0066662C">
        <w:rPr>
          <w:rFonts w:ascii="Arial" w:hAnsi="Arial" w:cs="Arial"/>
          <w:sz w:val="20"/>
          <w:szCs w:val="20"/>
          <w:lang w:val="es-CL"/>
        </w:rPr>
        <w:t>Pichidangui</w:t>
      </w:r>
      <w:proofErr w:type="spellEnd"/>
      <w:r w:rsidR="00957DEB" w:rsidRPr="0066662C">
        <w:rPr>
          <w:rFonts w:ascii="Arial" w:hAnsi="Arial" w:cs="Arial"/>
          <w:sz w:val="20"/>
          <w:szCs w:val="20"/>
          <w:lang w:val="es-CL"/>
        </w:rPr>
        <w:t xml:space="preserve"> y Laguna Adelaida, el fortalecimiento del Comité Regional de Humedales y la ejecución de proyectos de restauración de paisajes en la Reserva de la Biósfera Fray Jorge y de gobernanza marino-costera en La Higuera.</w:t>
      </w:r>
    </w:p>
    <w:p w14:paraId="79A727B1" w14:textId="77777777" w:rsidR="00332A34" w:rsidRPr="0066662C" w:rsidRDefault="00332A34" w:rsidP="00332A34">
      <w:pPr>
        <w:pStyle w:val="TableParagraph"/>
        <w:tabs>
          <w:tab w:val="left" w:pos="837"/>
        </w:tabs>
        <w:spacing w:line="276" w:lineRule="auto"/>
        <w:ind w:left="0"/>
        <w:jc w:val="both"/>
        <w:rPr>
          <w:rFonts w:ascii="Arial" w:eastAsia="Arial" w:hAnsi="Arial" w:cs="Arial"/>
          <w:spacing w:val="-10"/>
          <w:kern w:val="28"/>
          <w:sz w:val="56"/>
          <w:szCs w:val="56"/>
        </w:rPr>
      </w:pPr>
    </w:p>
    <w:p w14:paraId="0C6A0E09" w14:textId="5B4F580A" w:rsidR="00957DEB" w:rsidRDefault="00957DEB" w:rsidP="00744FB6">
      <w:pPr>
        <w:pStyle w:val="TableParagraph"/>
        <w:numPr>
          <w:ilvl w:val="0"/>
          <w:numId w:val="5"/>
        </w:numPr>
        <w:tabs>
          <w:tab w:val="left" w:pos="837"/>
        </w:tabs>
        <w:spacing w:line="276" w:lineRule="auto"/>
        <w:jc w:val="both"/>
        <w:rPr>
          <w:rFonts w:ascii="Arial" w:hAnsi="Arial" w:cs="Arial"/>
          <w:b/>
          <w:bCs/>
          <w:sz w:val="20"/>
          <w:szCs w:val="20"/>
          <w:lang w:val="es-CL"/>
        </w:rPr>
      </w:pPr>
      <w:r w:rsidRPr="00992E45">
        <w:rPr>
          <w:rFonts w:ascii="Arial" w:hAnsi="Arial" w:cs="Arial"/>
          <w:b/>
          <w:bCs/>
          <w:sz w:val="20"/>
          <w:szCs w:val="20"/>
          <w:lang w:val="es-CL"/>
        </w:rPr>
        <w:t>Subsecretaría de Desarrollo regional y administrativo</w:t>
      </w:r>
    </w:p>
    <w:p w14:paraId="15DA5782" w14:textId="77777777" w:rsidR="008259E4" w:rsidRDefault="008259E4" w:rsidP="00744FB6">
      <w:pPr>
        <w:pStyle w:val="TableParagraph"/>
        <w:tabs>
          <w:tab w:val="left" w:pos="837"/>
        </w:tabs>
        <w:spacing w:line="276" w:lineRule="auto"/>
        <w:ind w:left="720"/>
        <w:jc w:val="both"/>
        <w:rPr>
          <w:rFonts w:ascii="Arial" w:hAnsi="Arial" w:cs="Arial"/>
          <w:b/>
          <w:bCs/>
          <w:sz w:val="20"/>
          <w:szCs w:val="20"/>
          <w:lang w:val="es-CL"/>
        </w:rPr>
      </w:pPr>
    </w:p>
    <w:p w14:paraId="01595A11" w14:textId="0695C05C" w:rsidR="00957DEB" w:rsidRPr="00C32DD0" w:rsidRDefault="008259E4"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C32DD0">
        <w:rPr>
          <w:rFonts w:ascii="Arial" w:hAnsi="Arial" w:cs="Arial"/>
          <w:sz w:val="20"/>
          <w:szCs w:val="20"/>
          <w:lang w:val="es-CL"/>
        </w:rPr>
        <w:t xml:space="preserve">Durante 2025, SUBDERE fortaleció el financiamiento municipal y el desarrollo territorial mediante la transferencia de $17.801 millones provenientes del Royalty Minero. De este total, $6.896 </w:t>
      </w:r>
      <w:r w:rsidR="00957DEB" w:rsidRPr="00C32DD0">
        <w:rPr>
          <w:rFonts w:ascii="Arial" w:hAnsi="Arial" w:cs="Arial"/>
          <w:sz w:val="20"/>
          <w:szCs w:val="20"/>
          <w:lang w:val="es-CL"/>
        </w:rPr>
        <w:lastRenderedPageBreak/>
        <w:t>millones correspondieron a la provincia de Elqui, $5.585 millones a Limarí y $5.320 millones a Choapa, permitiendo a los municipios financiar iniciativas y mejorar su capacidad de gestión.</w:t>
      </w:r>
    </w:p>
    <w:p w14:paraId="5BE0DC85" w14:textId="3A013BB3" w:rsidR="00957DEB" w:rsidRPr="00C32DD0" w:rsidRDefault="008259E4"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C32DD0">
        <w:rPr>
          <w:rFonts w:ascii="Arial" w:hAnsi="Arial" w:cs="Arial"/>
          <w:sz w:val="20"/>
          <w:szCs w:val="20"/>
          <w:lang w:val="es-CL"/>
        </w:rPr>
        <w:t>Asimismo, las quince comunas recibieron más de $2.786 millones por compensación de predios exentos, destinados a cubrir parcialmente los ingresos que los municipios dejan de percibir por propiedades liberadas del pago de contribuciones, pero que igualmente requieren servicios como aseo, alumbrado y mantención de espacios públicos.</w:t>
      </w:r>
    </w:p>
    <w:p w14:paraId="20E2FA4B" w14:textId="349418D9" w:rsidR="00957DEB" w:rsidRDefault="008259E4" w:rsidP="00744FB6">
      <w:pPr>
        <w:pStyle w:val="TableParagraph"/>
        <w:tabs>
          <w:tab w:val="left" w:pos="837"/>
        </w:tabs>
        <w:spacing w:line="276" w:lineRule="auto"/>
        <w:ind w:left="0"/>
        <w:jc w:val="both"/>
        <w:rPr>
          <w:rFonts w:ascii="Arial" w:hAnsi="Arial" w:cs="Arial"/>
          <w:sz w:val="20"/>
          <w:szCs w:val="20"/>
          <w:lang w:val="es-CL"/>
        </w:rPr>
      </w:pPr>
      <w:r>
        <w:rPr>
          <w:rFonts w:ascii="Arial" w:hAnsi="Arial" w:cs="Arial"/>
          <w:sz w:val="20"/>
          <w:szCs w:val="20"/>
          <w:lang w:val="es-CL"/>
        </w:rPr>
        <w:tab/>
      </w:r>
      <w:r w:rsidR="00957DEB" w:rsidRPr="00C32DD0">
        <w:rPr>
          <w:rFonts w:ascii="Arial" w:hAnsi="Arial" w:cs="Arial"/>
          <w:sz w:val="20"/>
          <w:szCs w:val="20"/>
          <w:lang w:val="es-CL"/>
        </w:rPr>
        <w:t>Mediante el Bono de Aseo se transfirieron más de $658 millones, beneficiando a 395 trabajadores externalizados de La Serena, Coquimbo, Vicuña, Los Vilos y Ovalle. Además, comenzó la ejecución del Plan Operativo Regional de Tenencia Responsable de Animales de Compañía 2025-2026, que contempla una inversión cercana a $454 millones y una meta de 16 mil esterilizaciones con instalación de microchip en nueve comunas.</w:t>
      </w:r>
    </w:p>
    <w:p w14:paraId="65D1A4DB" w14:textId="77777777" w:rsidR="00957DEB" w:rsidRPr="00BF3446" w:rsidRDefault="00957DEB" w:rsidP="00744FB6">
      <w:pPr>
        <w:pStyle w:val="TableParagraph"/>
        <w:tabs>
          <w:tab w:val="left" w:pos="-284"/>
        </w:tabs>
        <w:spacing w:line="276" w:lineRule="auto"/>
        <w:ind w:left="-1134"/>
        <w:jc w:val="both"/>
        <w:rPr>
          <w:rFonts w:ascii="Arial" w:hAnsi="Arial" w:cs="Arial"/>
          <w:sz w:val="20"/>
          <w:szCs w:val="20"/>
          <w:lang w:val="es-CL"/>
        </w:rPr>
      </w:pPr>
    </w:p>
    <w:p w14:paraId="36AE507B" w14:textId="77777777" w:rsidR="00957DEB" w:rsidRPr="00BF3446" w:rsidRDefault="00957DEB" w:rsidP="00744FB6">
      <w:pPr>
        <w:pStyle w:val="TableParagraph"/>
        <w:tabs>
          <w:tab w:val="left" w:pos="-284"/>
        </w:tabs>
        <w:spacing w:line="276" w:lineRule="auto"/>
        <w:ind w:left="-1134"/>
        <w:jc w:val="both"/>
        <w:rPr>
          <w:rFonts w:ascii="Arial" w:hAnsi="Arial" w:cs="Arial"/>
          <w:sz w:val="20"/>
          <w:szCs w:val="20"/>
          <w:lang w:val="es-CL"/>
        </w:rPr>
      </w:pPr>
    </w:p>
    <w:p w14:paraId="58F63987" w14:textId="4AE76EE6" w:rsidR="0082043A" w:rsidRDefault="0082043A" w:rsidP="00744FB6">
      <w:pPr>
        <w:pStyle w:val="TableParagraph"/>
        <w:numPr>
          <w:ilvl w:val="0"/>
          <w:numId w:val="5"/>
        </w:numPr>
        <w:tabs>
          <w:tab w:val="left" w:pos="837"/>
        </w:tabs>
        <w:spacing w:line="276" w:lineRule="auto"/>
        <w:jc w:val="both"/>
        <w:rPr>
          <w:rFonts w:ascii="Arial" w:hAnsi="Arial" w:cs="Arial"/>
          <w:b/>
          <w:bCs/>
          <w:sz w:val="20"/>
          <w:szCs w:val="20"/>
        </w:rPr>
      </w:pPr>
      <w:r w:rsidRPr="0082043A">
        <w:rPr>
          <w:rFonts w:ascii="Arial" w:hAnsi="Arial" w:cs="Arial"/>
          <w:b/>
          <w:bCs/>
          <w:sz w:val="20"/>
          <w:szCs w:val="20"/>
        </w:rPr>
        <w:t>Unidad de Pasos Fronterizos</w:t>
      </w:r>
    </w:p>
    <w:p w14:paraId="7F86D95F" w14:textId="77777777" w:rsidR="008259E4" w:rsidRDefault="008259E4" w:rsidP="00744FB6">
      <w:pPr>
        <w:pStyle w:val="TableParagraph"/>
        <w:tabs>
          <w:tab w:val="left" w:pos="837"/>
        </w:tabs>
        <w:spacing w:line="276" w:lineRule="auto"/>
        <w:ind w:left="720"/>
        <w:jc w:val="both"/>
        <w:rPr>
          <w:rFonts w:ascii="Arial" w:hAnsi="Arial" w:cs="Arial"/>
          <w:b/>
          <w:bCs/>
          <w:sz w:val="20"/>
          <w:szCs w:val="20"/>
        </w:rPr>
      </w:pPr>
    </w:p>
    <w:p w14:paraId="233BFDAB" w14:textId="6C64DD5C" w:rsidR="00AB67BA" w:rsidRPr="00AB67BA" w:rsidRDefault="00235583" w:rsidP="00744FB6">
      <w:pPr>
        <w:pStyle w:val="TableParagraph"/>
        <w:tabs>
          <w:tab w:val="left" w:pos="837"/>
        </w:tabs>
        <w:spacing w:line="276" w:lineRule="auto"/>
        <w:jc w:val="both"/>
        <w:rPr>
          <w:rFonts w:ascii="Arial" w:hAnsi="Arial" w:cs="Arial"/>
          <w:sz w:val="20"/>
          <w:szCs w:val="20"/>
        </w:rPr>
      </w:pPr>
      <w:r>
        <w:rPr>
          <w:rFonts w:ascii="Arial" w:hAnsi="Arial" w:cs="Arial"/>
          <w:sz w:val="20"/>
          <w:szCs w:val="20"/>
        </w:rPr>
        <w:tab/>
      </w:r>
      <w:r w:rsidR="00AB67BA" w:rsidRPr="00AB67BA">
        <w:rPr>
          <w:rFonts w:ascii="Arial" w:hAnsi="Arial" w:cs="Arial"/>
          <w:sz w:val="20"/>
          <w:szCs w:val="20"/>
        </w:rPr>
        <w:t>Durante 2025, la gestión se concentró en fortalecer la operación del Complejo Fronterizo Agua Negra, mediante la modernización de procesos, mejoras de infraestructura y una mayor coordinación entre los servicios públicos presentes en el recinto.</w:t>
      </w:r>
    </w:p>
    <w:p w14:paraId="6277C665" w14:textId="684B87B8" w:rsidR="00AB67BA" w:rsidRPr="00AB67BA" w:rsidRDefault="00235583" w:rsidP="00744FB6">
      <w:pPr>
        <w:pStyle w:val="TableParagraph"/>
        <w:tabs>
          <w:tab w:val="left" w:pos="837"/>
        </w:tabs>
        <w:spacing w:line="276" w:lineRule="auto"/>
        <w:ind w:left="0"/>
        <w:jc w:val="both"/>
        <w:rPr>
          <w:rFonts w:ascii="Arial" w:hAnsi="Arial" w:cs="Arial"/>
          <w:sz w:val="20"/>
          <w:szCs w:val="20"/>
        </w:rPr>
      </w:pPr>
      <w:r>
        <w:rPr>
          <w:rFonts w:ascii="Arial" w:hAnsi="Arial" w:cs="Arial"/>
          <w:sz w:val="20"/>
          <w:szCs w:val="20"/>
        </w:rPr>
        <w:tab/>
      </w:r>
      <w:r w:rsidR="00AB67BA" w:rsidRPr="00AB67BA">
        <w:rPr>
          <w:rFonts w:ascii="Arial" w:hAnsi="Arial" w:cs="Arial"/>
          <w:sz w:val="20"/>
          <w:szCs w:val="20"/>
        </w:rPr>
        <w:t>Entre los principales avances destacó la consolidación de la Declaración Jurada Digital, apoyada mediante conectividad satelital, lo que permitió agilizar los trámites migratorios y aduaneros. También se habilitó el helipuerto del complejo conforme a las exigencias de la Dirección General de Aeronáutica Civil.</w:t>
      </w:r>
    </w:p>
    <w:p w14:paraId="1788693B" w14:textId="250690D8" w:rsidR="00AB67BA" w:rsidRDefault="00235583" w:rsidP="00744FB6">
      <w:pPr>
        <w:pStyle w:val="TableParagraph"/>
        <w:tabs>
          <w:tab w:val="left" w:pos="837"/>
        </w:tabs>
        <w:spacing w:line="276" w:lineRule="auto"/>
        <w:ind w:left="0"/>
        <w:jc w:val="both"/>
        <w:rPr>
          <w:rFonts w:ascii="Arial" w:hAnsi="Arial" w:cs="Arial"/>
          <w:sz w:val="20"/>
          <w:szCs w:val="20"/>
        </w:rPr>
      </w:pPr>
      <w:r>
        <w:rPr>
          <w:rFonts w:ascii="Arial" w:hAnsi="Arial" w:cs="Arial"/>
          <w:sz w:val="20"/>
          <w:szCs w:val="20"/>
        </w:rPr>
        <w:tab/>
      </w:r>
      <w:r w:rsidR="00AB67BA" w:rsidRPr="00AB67BA">
        <w:rPr>
          <w:rFonts w:ascii="Arial" w:hAnsi="Arial" w:cs="Arial"/>
          <w:sz w:val="20"/>
          <w:szCs w:val="20"/>
        </w:rPr>
        <w:t>Asimismo, se elaboró el Plan de Emergencia del complejo y se incorporaron antecedentes técnicos sobre riesgos de remoción en masa, fortaleciendo la prevención y la capacidad de respuesta ante contingencias. Paralelamente, se avanzó en la formulación y priorización de proyectos de infraestructura y equipamiento para su presentación a financiamiento regional.</w:t>
      </w:r>
    </w:p>
    <w:p w14:paraId="0709DEB8"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522B331"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06B33FE6"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128D74B4"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BC778CC"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76D3AD29"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D7D61B1"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38CAD319"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27302508"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D0ABE02"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3527D00A"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5D8964BA"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03A07DD3"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2646B6CD"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7A2EA4C1"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996288D"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1E4D1502"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3F9402DC"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73EC8762"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6C72EFB8"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4BB70113"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135C4AB0"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525B081E"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5AB37B26"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315265B0"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34CC3E56" w14:textId="77777777" w:rsidR="00274178" w:rsidRDefault="00274178" w:rsidP="00744FB6">
      <w:pPr>
        <w:pStyle w:val="TableParagraph"/>
        <w:tabs>
          <w:tab w:val="left" w:pos="837"/>
        </w:tabs>
        <w:spacing w:line="276" w:lineRule="auto"/>
        <w:ind w:left="0"/>
        <w:jc w:val="both"/>
        <w:rPr>
          <w:rFonts w:ascii="Arial" w:hAnsi="Arial" w:cs="Arial"/>
          <w:sz w:val="20"/>
          <w:szCs w:val="20"/>
        </w:rPr>
      </w:pPr>
    </w:p>
    <w:p w14:paraId="4397C573" w14:textId="77777777" w:rsidR="00274178" w:rsidRPr="00AB67BA" w:rsidRDefault="00274178" w:rsidP="00744FB6">
      <w:pPr>
        <w:pStyle w:val="TableParagraph"/>
        <w:tabs>
          <w:tab w:val="left" w:pos="837"/>
        </w:tabs>
        <w:spacing w:line="276" w:lineRule="auto"/>
        <w:ind w:left="0"/>
        <w:jc w:val="both"/>
        <w:rPr>
          <w:rFonts w:ascii="Arial" w:hAnsi="Arial" w:cs="Arial"/>
          <w:sz w:val="20"/>
          <w:szCs w:val="20"/>
        </w:rPr>
      </w:pPr>
    </w:p>
    <w:p w14:paraId="04895A58" w14:textId="5FBCCCCF" w:rsidR="007511D4" w:rsidRPr="007D68EB" w:rsidRDefault="007511D4" w:rsidP="00744FB6">
      <w:pPr>
        <w:pStyle w:val="TableParagraph"/>
        <w:tabs>
          <w:tab w:val="left" w:pos="837"/>
        </w:tabs>
        <w:spacing w:line="276" w:lineRule="auto"/>
        <w:ind w:left="0"/>
        <w:jc w:val="both"/>
        <w:rPr>
          <w:rFonts w:ascii="Arial" w:hAnsi="Arial" w:cs="Arial"/>
          <w:b/>
          <w:bCs/>
          <w:sz w:val="20"/>
          <w:szCs w:val="20"/>
          <w:lang w:val="es-CL"/>
        </w:rPr>
      </w:pPr>
    </w:p>
    <w:p w14:paraId="3EFB7CAE" w14:textId="0CBF484B" w:rsidR="00B33CBC" w:rsidRDefault="008B29F8" w:rsidP="00744FB6">
      <w:pPr>
        <w:pStyle w:val="Prrafodelista"/>
        <w:numPr>
          <w:ilvl w:val="0"/>
          <w:numId w:val="13"/>
        </w:numPr>
        <w:spacing w:line="276" w:lineRule="auto"/>
        <w:jc w:val="both"/>
        <w:rPr>
          <w:rFonts w:ascii="Arial" w:eastAsia="Arial" w:hAnsi="Arial" w:cs="Arial"/>
          <w:b/>
          <w:sz w:val="20"/>
          <w:szCs w:val="20"/>
        </w:rPr>
      </w:pPr>
      <w:r w:rsidRPr="008B29F8">
        <w:rPr>
          <w:rFonts w:ascii="Arial" w:eastAsia="Arial" w:hAnsi="Arial" w:cs="Arial"/>
          <w:b/>
          <w:sz w:val="20"/>
          <w:szCs w:val="20"/>
        </w:rPr>
        <w:t>Avances 2026 y programación sectorial 2026-2027</w:t>
      </w:r>
    </w:p>
    <w:p w14:paraId="1EDC5AC9" w14:textId="77777777" w:rsidR="00235583" w:rsidRDefault="00235583" w:rsidP="00744FB6">
      <w:pPr>
        <w:spacing w:line="276" w:lineRule="auto"/>
        <w:jc w:val="both"/>
        <w:rPr>
          <w:rFonts w:ascii="Arial" w:eastAsia="Arial" w:hAnsi="Arial" w:cs="Arial"/>
          <w:b/>
          <w:sz w:val="20"/>
          <w:szCs w:val="20"/>
        </w:rPr>
      </w:pPr>
    </w:p>
    <w:p w14:paraId="5F862C86" w14:textId="2AF6FC60" w:rsidR="00235583" w:rsidRDefault="00235583" w:rsidP="00744FB6">
      <w:pPr>
        <w:pStyle w:val="Prrafodelista"/>
        <w:numPr>
          <w:ilvl w:val="1"/>
          <w:numId w:val="4"/>
        </w:numPr>
        <w:spacing w:line="276" w:lineRule="auto"/>
        <w:jc w:val="both"/>
        <w:rPr>
          <w:rFonts w:ascii="Arial" w:eastAsia="Arial" w:hAnsi="Arial" w:cs="Arial"/>
          <w:b/>
          <w:sz w:val="20"/>
          <w:szCs w:val="20"/>
        </w:rPr>
      </w:pPr>
      <w:r w:rsidRPr="00235583">
        <w:rPr>
          <w:rFonts w:ascii="Arial" w:eastAsia="Arial" w:hAnsi="Arial" w:cs="Arial"/>
          <w:b/>
          <w:sz w:val="20"/>
          <w:szCs w:val="20"/>
        </w:rPr>
        <w:t>Seguridad p</w:t>
      </w:r>
      <w:r>
        <w:rPr>
          <w:rFonts w:ascii="Arial" w:eastAsia="Arial" w:hAnsi="Arial" w:cs="Arial"/>
          <w:b/>
          <w:sz w:val="20"/>
          <w:szCs w:val="20"/>
        </w:rPr>
        <w:t>ú</w:t>
      </w:r>
      <w:r w:rsidRPr="00235583">
        <w:rPr>
          <w:rFonts w:ascii="Arial" w:eastAsia="Arial" w:hAnsi="Arial" w:cs="Arial"/>
          <w:b/>
          <w:sz w:val="20"/>
          <w:szCs w:val="20"/>
        </w:rPr>
        <w:t>blica</w:t>
      </w:r>
    </w:p>
    <w:p w14:paraId="72006C51" w14:textId="77777777" w:rsidR="008B29F8" w:rsidRPr="00235583" w:rsidRDefault="008B29F8" w:rsidP="00744FB6">
      <w:pPr>
        <w:pStyle w:val="Prrafodelista"/>
        <w:spacing w:line="276" w:lineRule="auto"/>
        <w:ind w:left="1440"/>
        <w:jc w:val="both"/>
        <w:rPr>
          <w:rFonts w:ascii="Arial" w:eastAsia="Arial" w:hAnsi="Arial" w:cs="Arial"/>
          <w:b/>
          <w:sz w:val="20"/>
          <w:szCs w:val="20"/>
        </w:rPr>
      </w:pPr>
    </w:p>
    <w:p w14:paraId="39670B1D"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avanzó en la elaboración del Plan Operativo de Seguridad Pública 2026-2027, orientado a la prevención del delito, la recuperación de barrios y espacios públicos y el fortalecimiento de la coordinación institucional. Sus prioridades incluyen los robos violentos y en viviendas, el tráfico de drogas, los “</w:t>
      </w:r>
      <w:proofErr w:type="spellStart"/>
      <w:r w:rsidRPr="00235583">
        <w:rPr>
          <w:rFonts w:ascii="Arial" w:eastAsia="Arial" w:hAnsi="Arial" w:cs="Arial"/>
          <w:bCs/>
          <w:sz w:val="20"/>
          <w:szCs w:val="20"/>
        </w:rPr>
        <w:t>turbazos</w:t>
      </w:r>
      <w:proofErr w:type="spellEnd"/>
      <w:r w:rsidRPr="00235583">
        <w:rPr>
          <w:rFonts w:ascii="Arial" w:eastAsia="Arial" w:hAnsi="Arial" w:cs="Arial"/>
          <w:bCs/>
          <w:sz w:val="20"/>
          <w:szCs w:val="20"/>
        </w:rPr>
        <w:t xml:space="preserve">” y el </w:t>
      </w:r>
      <w:proofErr w:type="spellStart"/>
      <w:r w:rsidRPr="00235583">
        <w:rPr>
          <w:rFonts w:ascii="Arial" w:eastAsia="Arial" w:hAnsi="Arial" w:cs="Arial"/>
          <w:bCs/>
          <w:sz w:val="20"/>
          <w:szCs w:val="20"/>
        </w:rPr>
        <w:t>narcocultivo</w:t>
      </w:r>
      <w:proofErr w:type="spellEnd"/>
      <w:r w:rsidRPr="00235583">
        <w:rPr>
          <w:rFonts w:ascii="Arial" w:eastAsia="Arial" w:hAnsi="Arial" w:cs="Arial"/>
          <w:bCs/>
          <w:sz w:val="20"/>
          <w:szCs w:val="20"/>
        </w:rPr>
        <w:t xml:space="preserve"> en sectores rurales. </w:t>
      </w:r>
    </w:p>
    <w:p w14:paraId="412229BB"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A la fecha, el Plan Regional contra el Crimen Organizado presenta un 36% de avance, mientras que los delitos considerados en la Ley STOP disminuyeron un 6,1% respecto de igual período de 2025. Entre marzo y junio, los operativos conjuntos de Carabineros y la PDI permitieron realizar 4.576 controles y consultas, detener a 89 personas y cursar 410 infracciones. </w:t>
      </w:r>
    </w:p>
    <w:p w14:paraId="56A7CEBD"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para 2026-2027 contempla reforzar los controles en rutas, pasos fronterizos, puertos y sectores estratégicos; mantener los planes Calles sin Violencia y contra el Crimen Organizado; y fortalecer Denuncia Seguro, que recibió 642 reportes durante el primer semestre de 2026, un 26,6% más que en igual período del año anterior. La prioridad será prevenir los delitos violentos, combatir el narcotráfico y recuperar espacios públicos.</w:t>
      </w:r>
    </w:p>
    <w:p w14:paraId="128618DA" w14:textId="77777777" w:rsidR="00235583" w:rsidRPr="00235583" w:rsidRDefault="00235583" w:rsidP="00744FB6">
      <w:pPr>
        <w:spacing w:line="276" w:lineRule="auto"/>
        <w:ind w:firstLine="708"/>
        <w:jc w:val="both"/>
        <w:rPr>
          <w:rFonts w:ascii="Arial" w:eastAsia="Arial" w:hAnsi="Arial" w:cs="Arial"/>
          <w:bCs/>
          <w:sz w:val="20"/>
          <w:szCs w:val="20"/>
        </w:rPr>
      </w:pPr>
    </w:p>
    <w:p w14:paraId="7EB30066" w14:textId="1FD3B71A" w:rsidR="00235583" w:rsidRDefault="00235583" w:rsidP="00744FB6">
      <w:pPr>
        <w:pStyle w:val="Prrafodelista"/>
        <w:numPr>
          <w:ilvl w:val="1"/>
          <w:numId w:val="4"/>
        </w:numPr>
        <w:spacing w:line="276" w:lineRule="auto"/>
        <w:jc w:val="both"/>
        <w:rPr>
          <w:rFonts w:ascii="Arial" w:eastAsia="Arial" w:hAnsi="Arial" w:cs="Arial"/>
          <w:b/>
          <w:sz w:val="20"/>
          <w:szCs w:val="20"/>
        </w:rPr>
      </w:pPr>
      <w:r w:rsidRPr="00235583">
        <w:rPr>
          <w:rFonts w:ascii="Arial" w:eastAsia="Arial" w:hAnsi="Arial" w:cs="Arial"/>
          <w:b/>
          <w:sz w:val="20"/>
          <w:szCs w:val="20"/>
        </w:rPr>
        <w:t>Vivienda</w:t>
      </w:r>
    </w:p>
    <w:p w14:paraId="138F606A" w14:textId="77777777" w:rsidR="008B29F8" w:rsidRPr="00235583" w:rsidRDefault="008B29F8" w:rsidP="00744FB6">
      <w:pPr>
        <w:pStyle w:val="Prrafodelista"/>
        <w:spacing w:line="276" w:lineRule="auto"/>
        <w:ind w:left="1440"/>
        <w:jc w:val="both"/>
        <w:rPr>
          <w:rFonts w:ascii="Arial" w:eastAsia="Arial" w:hAnsi="Arial" w:cs="Arial"/>
          <w:b/>
          <w:sz w:val="20"/>
          <w:szCs w:val="20"/>
        </w:rPr>
      </w:pPr>
    </w:p>
    <w:p w14:paraId="34233DCB"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contempla continuar la ejecución del Plan de Emergencia Habitacional, que al corte de febrero de 2026 registraba 7.048 viviendas en construcción y 3.080 por iniciar. La prioridad será avanzar en las comunas con mayores brechas y abordar los cinco proyectos de Integración Social y Territorial paralizados en Coquimbo y Ovalle, que reúnen 1.212 viviendas.</w:t>
      </w:r>
    </w:p>
    <w:p w14:paraId="47066E9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obras urbanas continuará una cartera de 28 contratos, correspondiente a proyectos de vialidad, parques, espacios públicos, rutas accesibles y pavimentos participativos. Entre las principales iniciativas se encuentran la segunda etapa de Avenida Las Torres en Ovalle, Avenida Cuatro Esquinas y Los Arrayanes en La Serena, el Parque Sesquicentenario de Ovalle y las intervenciones del Parque Humedal El Culebrón.</w:t>
      </w:r>
    </w:p>
    <w:p w14:paraId="5CCD422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se avanzará en cinco Planes Urbanos Habitacionales incorporados a la cartera nacional y otros tres en estudio, los que en conjunto presentan potencial para desarrollar más de ocho mil nuevas viviendas, junto con infraestructura, equipamiento y espacios públicos.</w:t>
      </w:r>
    </w:p>
    <w:p w14:paraId="49701EA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El programa Quiero Mi Barrio incorporará formalmente los sectores Bellavista–Sanidad–Las Catanas, en Andacollo, y Villa San Rafael, en Illapel, alcanzando 17 barrios en ejecución durante 2026. En Pequeñas Localidades comenzará la intervención de </w:t>
      </w:r>
      <w:proofErr w:type="spellStart"/>
      <w:r w:rsidRPr="00235583">
        <w:rPr>
          <w:rFonts w:ascii="Arial" w:eastAsia="Arial" w:hAnsi="Arial" w:cs="Arial"/>
          <w:bCs/>
          <w:sz w:val="20"/>
          <w:szCs w:val="20"/>
        </w:rPr>
        <w:t>Quilimarí</w:t>
      </w:r>
      <w:proofErr w:type="spellEnd"/>
      <w:r w:rsidRPr="00235583">
        <w:rPr>
          <w:rFonts w:ascii="Arial" w:eastAsia="Arial" w:hAnsi="Arial" w:cs="Arial"/>
          <w:bCs/>
          <w:sz w:val="20"/>
          <w:szCs w:val="20"/>
        </w:rPr>
        <w:t xml:space="preserve"> Alto, continuará el diagnóstico de Chungungo y se mantendrá la ejecución de los planes de desarrollo en las restantes localidades activas.</w:t>
      </w:r>
    </w:p>
    <w:p w14:paraId="6D549487"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planificación territorial se continuará la actualización de los instrumentos reguladores y la reducción de los tiempos de tramitación. El desafío para el período 2026-2028 será avanzar desde la regularización normativa hacia una gestión urbana estratégica, integrando las políticas de suelo, vivienda, infraestructura pública y desarrollo territorial.</w:t>
      </w:r>
    </w:p>
    <w:p w14:paraId="58110762" w14:textId="77777777" w:rsidR="00274178" w:rsidRDefault="00274178" w:rsidP="00744FB6">
      <w:pPr>
        <w:spacing w:line="276" w:lineRule="auto"/>
        <w:ind w:firstLine="708"/>
        <w:jc w:val="both"/>
        <w:rPr>
          <w:rFonts w:ascii="Arial" w:eastAsia="Arial" w:hAnsi="Arial" w:cs="Arial"/>
          <w:bCs/>
          <w:sz w:val="20"/>
          <w:szCs w:val="20"/>
        </w:rPr>
      </w:pPr>
    </w:p>
    <w:p w14:paraId="7DE0C37B" w14:textId="77777777" w:rsidR="00274178" w:rsidRPr="00235583" w:rsidRDefault="00274178" w:rsidP="00744FB6">
      <w:pPr>
        <w:spacing w:line="276" w:lineRule="auto"/>
        <w:ind w:firstLine="708"/>
        <w:jc w:val="both"/>
        <w:rPr>
          <w:rFonts w:ascii="Arial" w:eastAsia="Arial" w:hAnsi="Arial" w:cs="Arial"/>
          <w:bCs/>
          <w:sz w:val="20"/>
          <w:szCs w:val="20"/>
        </w:rPr>
      </w:pPr>
    </w:p>
    <w:p w14:paraId="12635369" w14:textId="77777777" w:rsidR="00235583" w:rsidRPr="00235583" w:rsidRDefault="00235583" w:rsidP="00744FB6">
      <w:pPr>
        <w:spacing w:line="276" w:lineRule="auto"/>
        <w:jc w:val="both"/>
        <w:rPr>
          <w:rFonts w:ascii="Arial" w:eastAsia="Arial" w:hAnsi="Arial" w:cs="Arial"/>
          <w:b/>
          <w:sz w:val="20"/>
          <w:szCs w:val="20"/>
        </w:rPr>
      </w:pPr>
    </w:p>
    <w:p w14:paraId="60D2F128" w14:textId="7FFBFDDD" w:rsidR="00235583" w:rsidRDefault="00235583" w:rsidP="00744FB6">
      <w:pPr>
        <w:pStyle w:val="Prrafodelista"/>
        <w:numPr>
          <w:ilvl w:val="1"/>
          <w:numId w:val="4"/>
        </w:numPr>
        <w:spacing w:line="276" w:lineRule="auto"/>
        <w:jc w:val="both"/>
        <w:rPr>
          <w:rFonts w:ascii="Arial" w:eastAsia="Arial" w:hAnsi="Arial" w:cs="Arial"/>
          <w:b/>
          <w:sz w:val="20"/>
          <w:szCs w:val="20"/>
        </w:rPr>
      </w:pPr>
      <w:r w:rsidRPr="00235583">
        <w:rPr>
          <w:rFonts w:ascii="Arial" w:eastAsia="Arial" w:hAnsi="Arial" w:cs="Arial"/>
          <w:b/>
          <w:sz w:val="20"/>
          <w:szCs w:val="20"/>
        </w:rPr>
        <w:lastRenderedPageBreak/>
        <w:t>Cultura</w:t>
      </w:r>
    </w:p>
    <w:p w14:paraId="0A10A01C" w14:textId="77777777" w:rsidR="008B29F8" w:rsidRPr="00235583" w:rsidRDefault="008B29F8" w:rsidP="00744FB6">
      <w:pPr>
        <w:pStyle w:val="Prrafodelista"/>
        <w:spacing w:line="276" w:lineRule="auto"/>
        <w:ind w:left="1440"/>
        <w:jc w:val="both"/>
        <w:rPr>
          <w:rFonts w:ascii="Arial" w:eastAsia="Arial" w:hAnsi="Arial" w:cs="Arial"/>
          <w:b/>
          <w:sz w:val="20"/>
          <w:szCs w:val="20"/>
        </w:rPr>
      </w:pPr>
    </w:p>
    <w:p w14:paraId="177A7DF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fueron seleccionados 102 proyectos mediante seis fondos concursables. Al 10 de julio se habían suscrito 101 convenios y transferido más de $1.467 millones, con presencia en once comunas. El Programa de Apoyo a Organizaciones Culturales Colaboradoras aumentó sus recursos a más de $713 millones.</w:t>
      </w:r>
    </w:p>
    <w:p w14:paraId="513E94C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educación artística se financiarán diez proyectos FAE por más de $77 millones, se mantendrán 14 iniciativas Acciona y se ampliará Acciona Mediación a siete establecimientos. </w:t>
      </w:r>
      <w:proofErr w:type="spellStart"/>
      <w:r w:rsidRPr="00235583">
        <w:rPr>
          <w:rFonts w:ascii="Arial" w:eastAsia="Arial" w:hAnsi="Arial" w:cs="Arial"/>
          <w:bCs/>
          <w:sz w:val="20"/>
          <w:szCs w:val="20"/>
        </w:rPr>
        <w:t>Cecrea</w:t>
      </w:r>
      <w:proofErr w:type="spellEnd"/>
      <w:r w:rsidRPr="00235583">
        <w:rPr>
          <w:rFonts w:ascii="Arial" w:eastAsia="Arial" w:hAnsi="Arial" w:cs="Arial"/>
          <w:bCs/>
          <w:sz w:val="20"/>
          <w:szCs w:val="20"/>
        </w:rPr>
        <w:t xml:space="preserve"> dispone de $145 millones y, al primer semestre, había desarrollado 53 actividades y seis capacitaciones.</w:t>
      </w:r>
    </w:p>
    <w:p w14:paraId="68DDF39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Red Cultura incrementó su presupuesto a $235 millones y suscribió doce convenios con municipios para actualizar planes comunales y de gestión de espacios culturales. También se proyecta financiar a 22 organizaciones mediante Puntos de Cultura Comunitaria, desarrollar actividades de identidad regional en las quince comunas y ejecutar un diplomado de mediación lectora, encuentros literarios y un seminario dedicado a Gabriela Mistral. Para 2027, la programación informada considera principalmente la gestión de la nueva convocatoria del </w:t>
      </w:r>
      <w:proofErr w:type="spellStart"/>
      <w:r w:rsidRPr="00235583">
        <w:rPr>
          <w:rFonts w:ascii="Arial" w:eastAsia="Arial" w:hAnsi="Arial" w:cs="Arial"/>
          <w:bCs/>
          <w:sz w:val="20"/>
          <w:szCs w:val="20"/>
        </w:rPr>
        <w:t>Fondart</w:t>
      </w:r>
      <w:proofErr w:type="spellEnd"/>
      <w:r w:rsidRPr="00235583">
        <w:rPr>
          <w:rFonts w:ascii="Arial" w:eastAsia="Arial" w:hAnsi="Arial" w:cs="Arial"/>
          <w:bCs/>
          <w:sz w:val="20"/>
          <w:szCs w:val="20"/>
        </w:rPr>
        <w:t xml:space="preserve"> Regional.</w:t>
      </w:r>
    </w:p>
    <w:p w14:paraId="25D730F7" w14:textId="77777777" w:rsidR="00235583" w:rsidRPr="00235583" w:rsidRDefault="00235583" w:rsidP="00744FB6">
      <w:pPr>
        <w:spacing w:line="276" w:lineRule="auto"/>
        <w:jc w:val="both"/>
        <w:rPr>
          <w:rFonts w:ascii="Arial" w:eastAsia="Arial" w:hAnsi="Arial" w:cs="Arial"/>
          <w:bCs/>
          <w:sz w:val="20"/>
          <w:szCs w:val="20"/>
        </w:rPr>
      </w:pPr>
    </w:p>
    <w:p w14:paraId="4B7E3B49" w14:textId="602C7BE3" w:rsidR="00235583" w:rsidRDefault="00235583" w:rsidP="00744FB6">
      <w:pPr>
        <w:pStyle w:val="Prrafodelista"/>
        <w:numPr>
          <w:ilvl w:val="1"/>
          <w:numId w:val="4"/>
        </w:numPr>
        <w:spacing w:line="276" w:lineRule="auto"/>
        <w:jc w:val="both"/>
        <w:rPr>
          <w:rFonts w:ascii="Arial" w:eastAsia="Arial" w:hAnsi="Arial" w:cs="Arial"/>
          <w:b/>
          <w:sz w:val="20"/>
          <w:szCs w:val="20"/>
        </w:rPr>
      </w:pPr>
      <w:r w:rsidRPr="00235583">
        <w:rPr>
          <w:rFonts w:ascii="Arial" w:eastAsia="Arial" w:hAnsi="Arial" w:cs="Arial"/>
          <w:b/>
          <w:sz w:val="20"/>
          <w:szCs w:val="20"/>
        </w:rPr>
        <w:t>Agricultura</w:t>
      </w:r>
    </w:p>
    <w:p w14:paraId="7D46DC10" w14:textId="77777777" w:rsidR="008B29F8" w:rsidRPr="00235583" w:rsidRDefault="008B29F8" w:rsidP="00744FB6">
      <w:pPr>
        <w:pStyle w:val="Prrafodelista"/>
        <w:spacing w:line="276" w:lineRule="auto"/>
        <w:ind w:left="1440"/>
        <w:jc w:val="both"/>
        <w:rPr>
          <w:rFonts w:ascii="Arial" w:eastAsia="Arial" w:hAnsi="Arial" w:cs="Arial"/>
          <w:b/>
          <w:sz w:val="20"/>
          <w:szCs w:val="20"/>
        </w:rPr>
      </w:pPr>
    </w:p>
    <w:p w14:paraId="44B54B44"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 xml:space="preserve">Instituto de Investigaciones Agropecuarias — INIA </w:t>
      </w:r>
      <w:proofErr w:type="spellStart"/>
      <w:r w:rsidRPr="00235583">
        <w:rPr>
          <w:rFonts w:ascii="Arial" w:eastAsia="Arial" w:hAnsi="Arial" w:cs="Arial"/>
          <w:b/>
          <w:sz w:val="20"/>
          <w:szCs w:val="20"/>
        </w:rPr>
        <w:t>Intihuasi</w:t>
      </w:r>
      <w:proofErr w:type="spellEnd"/>
    </w:p>
    <w:p w14:paraId="7A15512E"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INIA continuará la ejecución de los proyectos adjudicados y la formulación de iniciativas vinculadas con eficiencia hídrica, agricultura digital, producción hidropónica, conservación de flora nativa y manejo sustentable de agua y fertilizantes.</w:t>
      </w:r>
    </w:p>
    <w:p w14:paraId="1ED85DFB"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Entre las principales proyecciones se encuentra un programa FNDR por $2.905 millones, destinado a mejorar la productividad de 220 pequeños productores de uva pisquera de Elqui, Limarí y Choapa, mediante riego tecnificado, renovación de plantaciones, asistencia técnica y mejoramiento de suelos. Para 2027 también se postularon investigaciones sobre vulnerabilidad climática y sensores remotos aplicados a la agricultura. </w:t>
      </w:r>
    </w:p>
    <w:p w14:paraId="60684AB8" w14:textId="77777777" w:rsidR="00235583" w:rsidRPr="00235583" w:rsidRDefault="00235583" w:rsidP="00744FB6">
      <w:pPr>
        <w:spacing w:line="276" w:lineRule="auto"/>
        <w:ind w:firstLine="708"/>
        <w:jc w:val="both"/>
        <w:rPr>
          <w:rFonts w:ascii="Arial" w:eastAsia="Arial" w:hAnsi="Arial" w:cs="Arial"/>
          <w:bCs/>
          <w:sz w:val="20"/>
          <w:szCs w:val="20"/>
        </w:rPr>
      </w:pPr>
    </w:p>
    <w:p w14:paraId="6D9A1ADB"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Fundación para la Innovación Agraria — FIA</w:t>
      </w:r>
    </w:p>
    <w:p w14:paraId="4C0537FF"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FIA continuará una cartera de diez proyectos regionales y multirregionales por más de $1.306 millones, relacionados con eficiencia hídrica, </w:t>
      </w:r>
      <w:proofErr w:type="spellStart"/>
      <w:r w:rsidRPr="00235583">
        <w:rPr>
          <w:rFonts w:ascii="Arial" w:eastAsia="Arial" w:hAnsi="Arial" w:cs="Arial"/>
          <w:bCs/>
          <w:sz w:val="20"/>
          <w:szCs w:val="20"/>
        </w:rPr>
        <w:t>bioinsumos</w:t>
      </w:r>
      <w:proofErr w:type="spellEnd"/>
      <w:r w:rsidRPr="00235583">
        <w:rPr>
          <w:rFonts w:ascii="Arial" w:eastAsia="Arial" w:hAnsi="Arial" w:cs="Arial"/>
          <w:bCs/>
          <w:sz w:val="20"/>
          <w:szCs w:val="20"/>
        </w:rPr>
        <w:t>, agricultura inteligente, control sustentable de plagas y agregación de valor.</w:t>
      </w:r>
    </w:p>
    <w:p w14:paraId="7F4215F6"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La programación incluye nuevas convocatorias de proyectos, giras, eventos y consultorías; la continuidad de </w:t>
      </w:r>
      <w:proofErr w:type="spellStart"/>
      <w:r w:rsidRPr="00235583">
        <w:rPr>
          <w:rFonts w:ascii="Arial" w:eastAsia="Arial" w:hAnsi="Arial" w:cs="Arial"/>
          <w:bCs/>
          <w:sz w:val="20"/>
          <w:szCs w:val="20"/>
        </w:rPr>
        <w:t>SaviaLab</w:t>
      </w:r>
      <w:proofErr w:type="spellEnd"/>
      <w:r w:rsidRPr="00235583">
        <w:rPr>
          <w:rFonts w:ascii="Arial" w:eastAsia="Arial" w:hAnsi="Arial" w:cs="Arial"/>
          <w:bCs/>
          <w:sz w:val="20"/>
          <w:szCs w:val="20"/>
        </w:rPr>
        <w:t xml:space="preserve">; el cierre del programa de biofábricas; y la ejecución del convenio FIC-R de innovación privada hasta diciembre de 2026. Varias iniciativas adjudicadas mantendrán su ejecución hasta 2028. </w:t>
      </w:r>
    </w:p>
    <w:p w14:paraId="63871186" w14:textId="77777777" w:rsidR="00235583" w:rsidRPr="00235583" w:rsidRDefault="00235583" w:rsidP="00744FB6">
      <w:pPr>
        <w:spacing w:line="276" w:lineRule="auto"/>
        <w:ind w:firstLine="708"/>
        <w:jc w:val="both"/>
        <w:rPr>
          <w:rFonts w:ascii="Arial" w:eastAsia="Arial" w:hAnsi="Arial" w:cs="Arial"/>
          <w:bCs/>
          <w:sz w:val="20"/>
          <w:szCs w:val="20"/>
        </w:rPr>
      </w:pPr>
    </w:p>
    <w:p w14:paraId="255186E3"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Corporación Nacional Forestal — CONAF</w:t>
      </w:r>
    </w:p>
    <w:p w14:paraId="43B08A81"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CONAF proyecta la aprobación e inicio del programa FNDR de restauración hidrológica y forestal de microcuencas, durante el último trimestre de 2026 o el primero de 2027.</w:t>
      </w:r>
    </w:p>
    <w:p w14:paraId="66BE611C"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la temporada de incendios 2026-2027 se considera el despliegue de ocho brigadas, distribuidas en Elqui, Limarí y Choapa, además de un helicóptero de apoyo. También continuará el Programa de Emergencia de Empleo y la fiscalización de cortas ilegales mediante herramientas geoespaciales.</w:t>
      </w:r>
    </w:p>
    <w:p w14:paraId="670717D6" w14:textId="77777777" w:rsidR="00235583" w:rsidRPr="00235583" w:rsidRDefault="00235583" w:rsidP="00744FB6">
      <w:pPr>
        <w:spacing w:line="276" w:lineRule="auto"/>
        <w:jc w:val="both"/>
        <w:rPr>
          <w:rFonts w:ascii="Arial" w:eastAsia="Arial" w:hAnsi="Arial" w:cs="Arial"/>
          <w:bCs/>
          <w:sz w:val="20"/>
          <w:szCs w:val="20"/>
        </w:rPr>
      </w:pPr>
    </w:p>
    <w:p w14:paraId="30A05EBE"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Servicio Agrícola y Ganadero — SAG</w:t>
      </w:r>
    </w:p>
    <w:p w14:paraId="135F644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La principal prioridad será controlar las ocho campañas de erradicación de mosca de la fruta que permanecen activas, reforzando el trampeo, los tratamientos de suelo, las cuarentenas y el </w:t>
      </w:r>
      <w:r w:rsidRPr="00235583">
        <w:rPr>
          <w:rFonts w:ascii="Arial" w:eastAsia="Arial" w:hAnsi="Arial" w:cs="Arial"/>
          <w:bCs/>
          <w:sz w:val="20"/>
          <w:szCs w:val="20"/>
        </w:rPr>
        <w:lastRenderedPageBreak/>
        <w:t>trabajo con productores. El objetivo es finalizar estos procesos a comienzos de 2027 y recuperar plenamente el estatus fitosanitario regional.</w:t>
      </w:r>
    </w:p>
    <w:p w14:paraId="4D960B85"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Asimismo, se proyecta ejecutar el programa FNDR de saneamiento sanitario para 1.106 crianceros y 152.204 animales, con una inversión superior a $333 millones, junto con mantener la vigilancia pecuaria, el control de la anemia infecciosa equina y las fiscalizaciones vinculadas con las exportaciones agrícolas. </w:t>
      </w:r>
    </w:p>
    <w:p w14:paraId="7340C17D" w14:textId="77777777" w:rsidR="00235583" w:rsidRPr="00235583" w:rsidRDefault="00235583" w:rsidP="00744FB6">
      <w:pPr>
        <w:spacing w:line="276" w:lineRule="auto"/>
        <w:ind w:firstLine="708"/>
        <w:jc w:val="both"/>
        <w:rPr>
          <w:rFonts w:ascii="Arial" w:eastAsia="Arial" w:hAnsi="Arial" w:cs="Arial"/>
          <w:bCs/>
          <w:sz w:val="20"/>
          <w:szCs w:val="20"/>
        </w:rPr>
      </w:pPr>
    </w:p>
    <w:p w14:paraId="1044DB77"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Instituto de Desarrollo Agropecuario — INDAP</w:t>
      </w:r>
    </w:p>
    <w:p w14:paraId="3CA4182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INDAP continuará la ejecución de programas de asesoría, inversión y crédito para la Agricultura Familiar Campesina, junto con las iniciativas PRODESAL, PADIS, Transición a la Agricultura Sostenible y Plan Caprino Lechero.</w:t>
      </w:r>
    </w:p>
    <w:p w14:paraId="7E3F8BA5" w14:textId="1A32EE35"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También se proyecta implementar un programa financiado por el Gobierno Regional por $1.600 millones, destinado a fortalecer la competitividad y sustentabilidad de productores de La Higuera, Vicuña, Andacollo y Río Hurtado. </w:t>
      </w:r>
    </w:p>
    <w:p w14:paraId="77E9E388" w14:textId="77777777" w:rsidR="00235583" w:rsidRPr="00235583" w:rsidRDefault="00235583" w:rsidP="00744FB6">
      <w:pPr>
        <w:spacing w:line="276" w:lineRule="auto"/>
        <w:ind w:firstLine="708"/>
        <w:jc w:val="both"/>
        <w:rPr>
          <w:rFonts w:ascii="Arial" w:eastAsia="Arial" w:hAnsi="Arial" w:cs="Arial"/>
          <w:bCs/>
          <w:sz w:val="20"/>
          <w:szCs w:val="20"/>
        </w:rPr>
      </w:pPr>
    </w:p>
    <w:p w14:paraId="66DD4654"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Instituto Forestal — INFOR Sede Diaguitas</w:t>
      </w:r>
    </w:p>
    <w:p w14:paraId="51DFFB6D"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INFOR mantendrá el monitoreo de obras de conservación de agua y suelo, la restauración de ecosistemas nativos, la investigación sobre formaciones xerofíticas y el resguardo de cactáceas.</w:t>
      </w:r>
    </w:p>
    <w:p w14:paraId="18BD688E"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principal proyecto será la creación del Centro de Investigación de Ecosistemas Forestales Xerofíticos, destinado a desarrollar tecnologías para restaurar ecosistemas degradados, fortalecer las economías rurales y transferir soluciones frente al cambio climático. También continuará el programa de reforestación y producción de forraje en Punitaqui, Combarbalá y Paihuano.</w:t>
      </w:r>
    </w:p>
    <w:p w14:paraId="1C8B377C" w14:textId="77777777" w:rsidR="00235583" w:rsidRPr="00235583" w:rsidRDefault="00235583" w:rsidP="00744FB6">
      <w:pPr>
        <w:spacing w:line="276" w:lineRule="auto"/>
        <w:ind w:firstLine="708"/>
        <w:jc w:val="both"/>
        <w:rPr>
          <w:rFonts w:ascii="Arial" w:eastAsia="Arial" w:hAnsi="Arial" w:cs="Arial"/>
          <w:bCs/>
          <w:sz w:val="20"/>
          <w:szCs w:val="20"/>
        </w:rPr>
      </w:pPr>
    </w:p>
    <w:p w14:paraId="3560CEE7" w14:textId="77777777" w:rsidR="00235583" w:rsidRPr="00235583" w:rsidRDefault="00235583" w:rsidP="00744FB6">
      <w:pPr>
        <w:spacing w:line="276" w:lineRule="auto"/>
        <w:jc w:val="both"/>
        <w:rPr>
          <w:rFonts w:ascii="Arial" w:eastAsia="Arial" w:hAnsi="Arial" w:cs="Arial"/>
          <w:b/>
          <w:sz w:val="20"/>
          <w:szCs w:val="20"/>
        </w:rPr>
      </w:pPr>
      <w:r w:rsidRPr="00235583">
        <w:rPr>
          <w:rFonts w:ascii="Arial" w:eastAsia="Arial" w:hAnsi="Arial" w:cs="Arial"/>
          <w:b/>
          <w:sz w:val="20"/>
          <w:szCs w:val="20"/>
        </w:rPr>
        <w:t>Comisión Nacional de Riego — CNR</w:t>
      </w:r>
    </w:p>
    <w:p w14:paraId="5DEE3A0D"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CNR continuará estudios y programas por más de $1.525 millones para analizar la disponibilidad hídrica en Choapa-Illapel, diagnosticar infraestructura crítica, fortalecer comunidades agrícolas y capacitar a profesionales en gestión del agua.</w:t>
      </w:r>
    </w:p>
    <w:p w14:paraId="1735DF2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el segundo semestre de 2026 comenzará un programa de reutilización de aguas grises por más de $608 millones. Además, se proyecta avanzar en una iniciativa regional superior a $6.054 millones para financiar obras de riego y tecnologías eficientes. A abril de 2026 se habían bonificado 22 proyectos por más de $4.945 millones, beneficiando a 1.822 agricultores. </w:t>
      </w:r>
    </w:p>
    <w:p w14:paraId="08BF0AF4" w14:textId="77777777" w:rsidR="00235583" w:rsidRPr="00235583" w:rsidRDefault="00235583" w:rsidP="00744FB6">
      <w:pPr>
        <w:spacing w:line="276" w:lineRule="auto"/>
        <w:jc w:val="both"/>
        <w:rPr>
          <w:rFonts w:ascii="Arial" w:eastAsia="Arial" w:hAnsi="Arial" w:cs="Arial"/>
          <w:b/>
          <w:sz w:val="20"/>
          <w:szCs w:val="20"/>
        </w:rPr>
      </w:pPr>
    </w:p>
    <w:p w14:paraId="2413EB10" w14:textId="66BC128A" w:rsidR="00235583" w:rsidRDefault="00235583" w:rsidP="00744FB6">
      <w:pPr>
        <w:pStyle w:val="Prrafodelista"/>
        <w:numPr>
          <w:ilvl w:val="1"/>
          <w:numId w:val="4"/>
        </w:numPr>
        <w:spacing w:line="276" w:lineRule="auto"/>
        <w:jc w:val="both"/>
        <w:rPr>
          <w:rFonts w:ascii="Arial" w:eastAsia="Arial" w:hAnsi="Arial" w:cs="Arial"/>
          <w:b/>
          <w:sz w:val="20"/>
          <w:szCs w:val="20"/>
        </w:rPr>
      </w:pPr>
      <w:r w:rsidRPr="00235583">
        <w:rPr>
          <w:rFonts w:ascii="Arial" w:eastAsia="Arial" w:hAnsi="Arial" w:cs="Arial"/>
          <w:b/>
          <w:sz w:val="20"/>
          <w:szCs w:val="20"/>
        </w:rPr>
        <w:t>Deportes</w:t>
      </w:r>
    </w:p>
    <w:p w14:paraId="6F4BE2AB" w14:textId="77777777" w:rsidR="00235583" w:rsidRPr="00235583" w:rsidRDefault="00235583" w:rsidP="00744FB6">
      <w:pPr>
        <w:pStyle w:val="Prrafodelista"/>
        <w:spacing w:line="276" w:lineRule="auto"/>
        <w:ind w:left="1440"/>
        <w:jc w:val="both"/>
        <w:rPr>
          <w:rFonts w:ascii="Arial" w:eastAsia="Arial" w:hAnsi="Arial" w:cs="Arial"/>
          <w:b/>
          <w:sz w:val="20"/>
          <w:szCs w:val="20"/>
        </w:rPr>
      </w:pPr>
    </w:p>
    <w:p w14:paraId="2B2D960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Al 10 de julio de 2026, FONDEPORTE registraba 257 postulaciones, un 19% más que en 2025. A esa fecha, 28 proyectos habían sido seleccionados y otros 65 permanecían en distintas etapas de evaluación. La programación contempla concluir el proceso concursable y evaluar un eventual segundo llamado, sujeto a disponibilidad presupuestaria.</w:t>
      </w:r>
    </w:p>
    <w:p w14:paraId="0EE1AD37"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ejecutan 329 talleres deportivos, distribuidos en doce comunas: 167 de Crecer en Movimiento y 162 de Deporte para la Salud. La prioridad será recuperar la cobertura en La Higuera, Combarbalá y Río Hurtado, además de fortalecer las actividades inclusivas y paralímpicas.</w:t>
      </w:r>
    </w:p>
    <w:p w14:paraId="02BED793"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infraestructura, se continuará el seguimiento de los proyectos del Complejo Deportivo Municipal de Los Vilos, el diseño del Polideportivo CDC de La Serena y la </w:t>
      </w:r>
      <w:proofErr w:type="spellStart"/>
      <w:r w:rsidRPr="00235583">
        <w:rPr>
          <w:rFonts w:ascii="Arial" w:eastAsia="Arial" w:hAnsi="Arial" w:cs="Arial"/>
          <w:bCs/>
          <w:sz w:val="20"/>
          <w:szCs w:val="20"/>
        </w:rPr>
        <w:t>multicancha</w:t>
      </w:r>
      <w:proofErr w:type="spellEnd"/>
      <w:r w:rsidRPr="00235583">
        <w:rPr>
          <w:rFonts w:ascii="Arial" w:eastAsia="Arial" w:hAnsi="Arial" w:cs="Arial"/>
          <w:bCs/>
          <w:sz w:val="20"/>
          <w:szCs w:val="20"/>
        </w:rPr>
        <w:t xml:space="preserve"> de Villa Maestranza en Coquimbo. También se proyecta avanzar en la licitación del Estadio Municipal de Vicuña, actualizar la cartera regional de infraestructura deportiva y definir la continuidad o reformulación del proyecto del Estadio de Canela.</w:t>
      </w:r>
    </w:p>
    <w:p w14:paraId="6826DC5A" w14:textId="77777777" w:rsidR="00274178" w:rsidRDefault="00274178" w:rsidP="00744FB6">
      <w:pPr>
        <w:spacing w:line="276" w:lineRule="auto"/>
        <w:ind w:firstLine="708"/>
        <w:jc w:val="both"/>
        <w:rPr>
          <w:rFonts w:ascii="Arial" w:eastAsia="Arial" w:hAnsi="Arial" w:cs="Arial"/>
          <w:bCs/>
          <w:sz w:val="20"/>
          <w:szCs w:val="20"/>
        </w:rPr>
      </w:pPr>
    </w:p>
    <w:p w14:paraId="648E6E11" w14:textId="77777777" w:rsidR="00274178" w:rsidRDefault="00274178" w:rsidP="00744FB6">
      <w:pPr>
        <w:spacing w:line="276" w:lineRule="auto"/>
        <w:ind w:firstLine="708"/>
        <w:jc w:val="both"/>
        <w:rPr>
          <w:rFonts w:ascii="Arial" w:eastAsia="Arial" w:hAnsi="Arial" w:cs="Arial"/>
          <w:bCs/>
          <w:sz w:val="20"/>
          <w:szCs w:val="20"/>
        </w:rPr>
      </w:pPr>
    </w:p>
    <w:p w14:paraId="2826139B" w14:textId="77777777" w:rsidR="008977E6" w:rsidRPr="00235583" w:rsidRDefault="008977E6" w:rsidP="00744FB6">
      <w:pPr>
        <w:spacing w:line="276" w:lineRule="auto"/>
        <w:ind w:firstLine="708"/>
        <w:jc w:val="both"/>
        <w:rPr>
          <w:rFonts w:ascii="Arial" w:eastAsia="Arial" w:hAnsi="Arial" w:cs="Arial"/>
          <w:bCs/>
          <w:sz w:val="20"/>
          <w:szCs w:val="20"/>
        </w:rPr>
      </w:pPr>
    </w:p>
    <w:p w14:paraId="6E60C58B" w14:textId="3929C989" w:rsidR="00235583" w:rsidRDefault="00235583" w:rsidP="00744FB6">
      <w:pPr>
        <w:pStyle w:val="Prrafodelista"/>
        <w:numPr>
          <w:ilvl w:val="1"/>
          <w:numId w:val="4"/>
        </w:numPr>
        <w:spacing w:line="276" w:lineRule="auto"/>
        <w:jc w:val="both"/>
        <w:rPr>
          <w:rFonts w:ascii="Arial" w:eastAsia="Arial" w:hAnsi="Arial" w:cs="Arial"/>
          <w:b/>
          <w:sz w:val="20"/>
          <w:szCs w:val="20"/>
        </w:rPr>
      </w:pPr>
      <w:r w:rsidRPr="008977E6">
        <w:rPr>
          <w:rFonts w:ascii="Arial" w:eastAsia="Arial" w:hAnsi="Arial" w:cs="Arial"/>
          <w:b/>
          <w:sz w:val="20"/>
          <w:szCs w:val="20"/>
        </w:rPr>
        <w:t>Energía</w:t>
      </w:r>
    </w:p>
    <w:p w14:paraId="32A08C6E" w14:textId="77777777" w:rsidR="008977E6" w:rsidRPr="008977E6" w:rsidRDefault="008977E6" w:rsidP="00744FB6">
      <w:pPr>
        <w:pStyle w:val="Prrafodelista"/>
        <w:spacing w:line="276" w:lineRule="auto"/>
        <w:ind w:left="1440"/>
        <w:jc w:val="both"/>
        <w:rPr>
          <w:rFonts w:ascii="Arial" w:eastAsia="Arial" w:hAnsi="Arial" w:cs="Arial"/>
          <w:b/>
          <w:sz w:val="20"/>
          <w:szCs w:val="20"/>
        </w:rPr>
      </w:pPr>
    </w:p>
    <w:p w14:paraId="1187469C"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contempla utilizar el Mapa de Vulnerabilidad Energética para priorizar proyectos de electrificación y acompañar a comunidades rurales que aún dependen de sistemas privados o presentan dificultades para conectarse a la red regulada.</w:t>
      </w:r>
    </w:p>
    <w:p w14:paraId="0DAC827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Se avanzará en la construcción del Parque Solar Comunitario de Vicuña y en los proyectos de Canela, Paihuano e Illapel, junto con la instalación de los sistemas fotovoltaicos del programa Agua Rural Solar. También se proyecta implementar Mi Taxi Eléctrico, incluyendo la selección de beneficiarios, el recambio de 125 taxis y la instalación de cuatro cargadores rápidos en La Serena, Coquimbo, Ovalle e Illapel.</w:t>
      </w:r>
    </w:p>
    <w:p w14:paraId="2E153CF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generación y transmisión, se realizará seguimiento a ocho proyectos actualmente en evaluación ambiental, que representan 461 MW y una inversión cercana a US$770 millones, además de la construcción de la línea </w:t>
      </w:r>
      <w:proofErr w:type="spellStart"/>
      <w:r w:rsidRPr="00235583">
        <w:rPr>
          <w:rFonts w:ascii="Arial" w:eastAsia="Arial" w:hAnsi="Arial" w:cs="Arial"/>
          <w:bCs/>
          <w:sz w:val="20"/>
          <w:szCs w:val="20"/>
        </w:rPr>
        <w:t>Kimal</w:t>
      </w:r>
      <w:proofErr w:type="spellEnd"/>
      <w:r w:rsidRPr="00235583">
        <w:rPr>
          <w:rFonts w:ascii="Arial" w:eastAsia="Arial" w:hAnsi="Arial" w:cs="Arial"/>
          <w:bCs/>
          <w:sz w:val="20"/>
          <w:szCs w:val="20"/>
        </w:rPr>
        <w:t>–Lo Aguirre y el desarrollo de sistemas de almacenamiento energético.</w:t>
      </w:r>
    </w:p>
    <w:p w14:paraId="010364FB" w14:textId="77777777" w:rsidR="00230684"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Finalmente, se mantendrán las acciones de protección a las personas electrodependientes, preparación frente a emergencias y continuidad del Subsidio Eléctrico. </w:t>
      </w:r>
    </w:p>
    <w:p w14:paraId="5E012B19" w14:textId="77777777" w:rsidR="00230684" w:rsidRDefault="00230684" w:rsidP="00744FB6">
      <w:pPr>
        <w:spacing w:line="276" w:lineRule="auto"/>
        <w:ind w:firstLine="708"/>
        <w:jc w:val="both"/>
        <w:rPr>
          <w:rFonts w:ascii="Arial" w:eastAsia="Arial" w:hAnsi="Arial" w:cs="Arial"/>
          <w:bCs/>
          <w:sz w:val="20"/>
          <w:szCs w:val="20"/>
        </w:rPr>
      </w:pPr>
    </w:p>
    <w:p w14:paraId="7ABCB726" w14:textId="0FB1BA54" w:rsidR="00235583" w:rsidRPr="00230684" w:rsidRDefault="00235583" w:rsidP="00744FB6">
      <w:pPr>
        <w:pStyle w:val="Prrafodelista"/>
        <w:numPr>
          <w:ilvl w:val="1"/>
          <w:numId w:val="4"/>
        </w:numPr>
        <w:spacing w:line="276" w:lineRule="auto"/>
        <w:jc w:val="both"/>
        <w:rPr>
          <w:rFonts w:ascii="Arial" w:eastAsia="Arial" w:hAnsi="Arial" w:cs="Arial"/>
          <w:b/>
          <w:sz w:val="20"/>
          <w:szCs w:val="20"/>
        </w:rPr>
      </w:pPr>
      <w:r w:rsidRPr="00230684">
        <w:rPr>
          <w:rFonts w:ascii="Arial" w:eastAsia="Arial" w:hAnsi="Arial" w:cs="Arial"/>
          <w:b/>
          <w:sz w:val="20"/>
          <w:szCs w:val="20"/>
        </w:rPr>
        <w:t>Gobierno</w:t>
      </w:r>
    </w:p>
    <w:p w14:paraId="270246D2" w14:textId="77777777" w:rsidR="00662BF0" w:rsidRPr="008977E6" w:rsidRDefault="00662BF0" w:rsidP="00744FB6">
      <w:pPr>
        <w:pStyle w:val="Prrafodelista"/>
        <w:spacing w:line="276" w:lineRule="auto"/>
        <w:ind w:left="1440"/>
        <w:jc w:val="both"/>
        <w:rPr>
          <w:rFonts w:ascii="Arial" w:eastAsia="Arial" w:hAnsi="Arial" w:cs="Arial"/>
          <w:b/>
          <w:sz w:val="20"/>
          <w:szCs w:val="20"/>
        </w:rPr>
      </w:pPr>
    </w:p>
    <w:p w14:paraId="34CB373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2026 se ha mantenido el despliegue territorial, con ocho Escuelas de Formación Social, tres diálogos ciudadanos y ocho actividades de </w:t>
      </w:r>
      <w:proofErr w:type="spellStart"/>
      <w:r w:rsidRPr="00235583">
        <w:rPr>
          <w:rFonts w:ascii="Arial" w:eastAsia="Arial" w:hAnsi="Arial" w:cs="Arial"/>
          <w:bCs/>
          <w:sz w:val="20"/>
          <w:szCs w:val="20"/>
        </w:rPr>
        <w:t>MovilizaDOS</w:t>
      </w:r>
      <w:proofErr w:type="spellEnd"/>
      <w:r w:rsidRPr="00235583">
        <w:rPr>
          <w:rFonts w:ascii="Arial" w:eastAsia="Arial" w:hAnsi="Arial" w:cs="Arial"/>
          <w:bCs/>
          <w:sz w:val="20"/>
          <w:szCs w:val="20"/>
        </w:rPr>
        <w:t>, beneficiando a 762 personas al mes de julio. La gestión ha priorizado el trabajo con organizaciones sociales en materias como crisis hídrica, seguridad, salud mental, inclusión, pesca artesanal y fortalecimiento de las dirigencias locales.</w:t>
      </w:r>
    </w:p>
    <w:p w14:paraId="731165E2"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FFOIP recibió 220 postulaciones, la cifra más alta registrada, y dispone de $77,2 millones, mientras el Fondo de Medios cuenta con $180,8 millones y recibió 61 proyectos. La programación considera concluir los procesos de evaluación y adjudicación, mantener la formación de dirigentes y ampliar el uso de herramientas digitales para acercar la oferta pública a los territorios.</w:t>
      </w:r>
    </w:p>
    <w:p w14:paraId="7D7E7E71"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Entre los avances del período también se encuentra el apoyo entregado a 351 pescadores artesanales, mediante una inversión cercana a $35 millones, y el acompañamiento a organizaciones rurales, sanitarias, comunitarias y de cuidado. De cara a 2027, se proyecta consolidar la cobertura regional de los programas de participación ciudadana y fortalecer el vínculo entre el Estado, los medios locales y las organizaciones sociales.</w:t>
      </w:r>
    </w:p>
    <w:p w14:paraId="1624EB4B" w14:textId="77777777" w:rsidR="00662BF0" w:rsidRPr="00235583" w:rsidRDefault="00662BF0" w:rsidP="00744FB6">
      <w:pPr>
        <w:spacing w:line="276" w:lineRule="auto"/>
        <w:ind w:firstLine="708"/>
        <w:jc w:val="both"/>
        <w:rPr>
          <w:rFonts w:ascii="Arial" w:eastAsia="Arial" w:hAnsi="Arial" w:cs="Arial"/>
          <w:bCs/>
          <w:sz w:val="20"/>
          <w:szCs w:val="20"/>
        </w:rPr>
      </w:pPr>
    </w:p>
    <w:p w14:paraId="78C5B241" w14:textId="40FE9008" w:rsidR="00235583" w:rsidRDefault="00662BF0" w:rsidP="00744FB6">
      <w:pPr>
        <w:pStyle w:val="Prrafodelista"/>
        <w:numPr>
          <w:ilvl w:val="1"/>
          <w:numId w:val="4"/>
        </w:numPr>
        <w:spacing w:line="276" w:lineRule="auto"/>
        <w:jc w:val="both"/>
        <w:rPr>
          <w:rFonts w:ascii="Arial" w:eastAsia="Arial" w:hAnsi="Arial" w:cs="Arial"/>
          <w:b/>
          <w:sz w:val="20"/>
          <w:szCs w:val="20"/>
        </w:rPr>
      </w:pPr>
      <w:r w:rsidRPr="00662BF0">
        <w:rPr>
          <w:rFonts w:ascii="Arial" w:eastAsia="Arial" w:hAnsi="Arial" w:cs="Arial"/>
          <w:b/>
          <w:sz w:val="20"/>
          <w:szCs w:val="20"/>
        </w:rPr>
        <w:t>Transportes y Telecomunicaciones</w:t>
      </w:r>
    </w:p>
    <w:p w14:paraId="35921637" w14:textId="77777777" w:rsidR="00662BF0" w:rsidRPr="00662BF0" w:rsidRDefault="00662BF0" w:rsidP="00744FB6">
      <w:pPr>
        <w:pStyle w:val="Prrafodelista"/>
        <w:spacing w:line="276" w:lineRule="auto"/>
        <w:ind w:left="1440"/>
        <w:jc w:val="both"/>
        <w:rPr>
          <w:rFonts w:ascii="Arial" w:eastAsia="Arial" w:hAnsi="Arial" w:cs="Arial"/>
          <w:b/>
          <w:sz w:val="20"/>
          <w:szCs w:val="20"/>
        </w:rPr>
      </w:pPr>
    </w:p>
    <w:p w14:paraId="5354558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2026 avanza la implementación del sistema de buses eléctricos de Ovalle. El </w:t>
      </w:r>
      <w:proofErr w:type="spellStart"/>
      <w:r w:rsidRPr="00235583">
        <w:rPr>
          <w:rFonts w:ascii="Arial" w:eastAsia="Arial" w:hAnsi="Arial" w:cs="Arial"/>
          <w:bCs/>
          <w:sz w:val="20"/>
          <w:szCs w:val="20"/>
        </w:rPr>
        <w:t>electroterminal</w:t>
      </w:r>
      <w:proofErr w:type="spellEnd"/>
      <w:r w:rsidRPr="00235583">
        <w:rPr>
          <w:rFonts w:ascii="Arial" w:eastAsia="Arial" w:hAnsi="Arial" w:cs="Arial"/>
          <w:bCs/>
          <w:sz w:val="20"/>
          <w:szCs w:val="20"/>
        </w:rPr>
        <w:t xml:space="preserve"> registra un 37% de avance y se programó el arribo de 41 buses para junio de 2026, con la proyección de iniciar siete recorridos urbanos durante el tercer trimestre.</w:t>
      </w:r>
    </w:p>
    <w:p w14:paraId="65622E3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presupuesto regional de la Ley de Subsidio al Transporte Público aumenta a $16.600 millones, considerando recursos para servicios en zonas aisladas, transporte escolar gratuito, rebaja tarifaria y la operación del nuevo sistema eléctrico de Ovalle.</w:t>
      </w:r>
    </w:p>
    <w:p w14:paraId="02944F86"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También se proyecta renovar cerca de 200 taxis colectivos y 80 microbuses, avanzar en la integración de semáforos y cámaras de tránsito e incorporar ondas verdes para vehículos de emergencia. En telecomunicaciones continuará la ejecución del proyecto Última Milla, destinado a reducir las brechas de acceso a internet en localidades rurales. </w:t>
      </w:r>
    </w:p>
    <w:p w14:paraId="11A5CFFC" w14:textId="77777777" w:rsidR="00524785" w:rsidRDefault="00524785" w:rsidP="00744FB6">
      <w:pPr>
        <w:spacing w:line="276" w:lineRule="auto"/>
        <w:ind w:firstLine="708"/>
        <w:jc w:val="both"/>
        <w:rPr>
          <w:rFonts w:ascii="Arial" w:eastAsia="Arial" w:hAnsi="Arial" w:cs="Arial"/>
          <w:bCs/>
          <w:sz w:val="20"/>
          <w:szCs w:val="20"/>
        </w:rPr>
      </w:pPr>
    </w:p>
    <w:p w14:paraId="34034C54" w14:textId="77777777" w:rsidR="00524785" w:rsidRDefault="00524785" w:rsidP="00744FB6">
      <w:pPr>
        <w:spacing w:line="276" w:lineRule="auto"/>
        <w:ind w:firstLine="708"/>
        <w:jc w:val="both"/>
        <w:rPr>
          <w:rFonts w:ascii="Arial" w:eastAsia="Arial" w:hAnsi="Arial" w:cs="Arial"/>
          <w:bCs/>
          <w:sz w:val="20"/>
          <w:szCs w:val="20"/>
        </w:rPr>
      </w:pPr>
    </w:p>
    <w:p w14:paraId="66C0D001" w14:textId="77777777" w:rsidR="00662BF0" w:rsidRPr="00235583" w:rsidRDefault="00662BF0" w:rsidP="00744FB6">
      <w:pPr>
        <w:spacing w:line="276" w:lineRule="auto"/>
        <w:ind w:firstLine="708"/>
        <w:jc w:val="both"/>
        <w:rPr>
          <w:rFonts w:ascii="Arial" w:eastAsia="Arial" w:hAnsi="Arial" w:cs="Arial"/>
          <w:bCs/>
          <w:sz w:val="20"/>
          <w:szCs w:val="20"/>
        </w:rPr>
      </w:pPr>
    </w:p>
    <w:p w14:paraId="0EBB831A" w14:textId="53370F1A" w:rsidR="00235583" w:rsidRDefault="00662BF0" w:rsidP="00744FB6">
      <w:pPr>
        <w:pStyle w:val="Prrafodelista"/>
        <w:numPr>
          <w:ilvl w:val="1"/>
          <w:numId w:val="4"/>
        </w:numPr>
        <w:spacing w:line="276" w:lineRule="auto"/>
        <w:jc w:val="both"/>
        <w:rPr>
          <w:rFonts w:ascii="Arial" w:eastAsia="Arial" w:hAnsi="Arial" w:cs="Arial"/>
          <w:b/>
          <w:sz w:val="20"/>
          <w:szCs w:val="20"/>
        </w:rPr>
      </w:pPr>
      <w:r w:rsidRPr="00662BF0">
        <w:rPr>
          <w:rFonts w:ascii="Arial" w:eastAsia="Arial" w:hAnsi="Arial" w:cs="Arial"/>
          <w:b/>
          <w:sz w:val="20"/>
          <w:szCs w:val="20"/>
        </w:rPr>
        <w:t>Desarrollo Social y familia</w:t>
      </w:r>
    </w:p>
    <w:p w14:paraId="3042B358" w14:textId="77777777" w:rsidR="00662BF0" w:rsidRPr="00662BF0" w:rsidRDefault="00662BF0" w:rsidP="00744FB6">
      <w:pPr>
        <w:pStyle w:val="Prrafodelista"/>
        <w:spacing w:line="276" w:lineRule="auto"/>
        <w:ind w:left="1440"/>
        <w:jc w:val="both"/>
        <w:rPr>
          <w:rFonts w:ascii="Arial" w:eastAsia="Arial" w:hAnsi="Arial" w:cs="Arial"/>
          <w:b/>
          <w:sz w:val="20"/>
          <w:szCs w:val="20"/>
        </w:rPr>
      </w:pPr>
    </w:p>
    <w:p w14:paraId="4AA1317F" w14:textId="77777777" w:rsidR="00235583" w:rsidRDefault="00235583" w:rsidP="00744FB6">
      <w:pPr>
        <w:spacing w:line="276" w:lineRule="auto"/>
        <w:jc w:val="both"/>
        <w:rPr>
          <w:rFonts w:ascii="Arial" w:eastAsia="Arial" w:hAnsi="Arial" w:cs="Arial"/>
          <w:b/>
          <w:sz w:val="20"/>
          <w:szCs w:val="20"/>
        </w:rPr>
      </w:pPr>
      <w:r w:rsidRPr="00662BF0">
        <w:rPr>
          <w:rFonts w:ascii="Arial" w:eastAsia="Arial" w:hAnsi="Arial" w:cs="Arial"/>
          <w:b/>
          <w:sz w:val="20"/>
          <w:szCs w:val="20"/>
        </w:rPr>
        <w:t>Fondo de Solidaridad e Inversión Social — FOSIS</w:t>
      </w:r>
    </w:p>
    <w:p w14:paraId="01629C87" w14:textId="77777777" w:rsidR="00662BF0" w:rsidRPr="00662BF0" w:rsidRDefault="00662BF0" w:rsidP="00744FB6">
      <w:pPr>
        <w:spacing w:line="276" w:lineRule="auto"/>
        <w:jc w:val="both"/>
        <w:rPr>
          <w:rFonts w:ascii="Arial" w:eastAsia="Arial" w:hAnsi="Arial" w:cs="Arial"/>
          <w:b/>
          <w:sz w:val="20"/>
          <w:szCs w:val="20"/>
        </w:rPr>
      </w:pPr>
    </w:p>
    <w:p w14:paraId="24F4B6B2"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2026, FOSIS cuenta con una asignación regional superior a $1.428 millones, con una cobertura proyectada de 2.150 personas y tres organizaciones productivas.</w:t>
      </w:r>
    </w:p>
    <w:p w14:paraId="5B11912C"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La programación considera mantener los programas Emprendamos en sus distintas líneas, fortalecer iniciativas asociativas y espacios de comercialización, y continuar los </w:t>
      </w:r>
      <w:proofErr w:type="spellStart"/>
      <w:r w:rsidRPr="00235583">
        <w:rPr>
          <w:rFonts w:ascii="Arial" w:eastAsia="Arial" w:hAnsi="Arial" w:cs="Arial"/>
          <w:bCs/>
          <w:sz w:val="20"/>
          <w:szCs w:val="20"/>
        </w:rPr>
        <w:t>Ecomercados</w:t>
      </w:r>
      <w:proofErr w:type="spellEnd"/>
      <w:r w:rsidRPr="00235583">
        <w:rPr>
          <w:rFonts w:ascii="Arial" w:eastAsia="Arial" w:hAnsi="Arial" w:cs="Arial"/>
          <w:bCs/>
          <w:sz w:val="20"/>
          <w:szCs w:val="20"/>
        </w:rPr>
        <w:t xml:space="preserve"> Solidarios. También se desarrollarán acciones de seguridad alimentaria, habitabilidad y acompañamiento psicosocial y sociolaboral para familias en situación de pobreza o vulnerabilidad, manteniendo atención prioritaria a personas vinculadas a Teletón y Gendarmería.</w:t>
      </w:r>
    </w:p>
    <w:p w14:paraId="55FD3D5E" w14:textId="77777777" w:rsidR="00662BF0" w:rsidRDefault="00662BF0" w:rsidP="00744FB6">
      <w:pPr>
        <w:spacing w:line="276" w:lineRule="auto"/>
        <w:jc w:val="both"/>
        <w:rPr>
          <w:rFonts w:ascii="Arial" w:eastAsia="Arial" w:hAnsi="Arial" w:cs="Arial"/>
          <w:bCs/>
          <w:sz w:val="20"/>
          <w:szCs w:val="20"/>
        </w:rPr>
      </w:pPr>
    </w:p>
    <w:p w14:paraId="7B6A3B5D" w14:textId="295FA9AE" w:rsidR="00235583" w:rsidRPr="00662BF0" w:rsidRDefault="00235583" w:rsidP="00744FB6">
      <w:pPr>
        <w:spacing w:line="276" w:lineRule="auto"/>
        <w:jc w:val="both"/>
        <w:rPr>
          <w:rFonts w:ascii="Arial" w:eastAsia="Arial" w:hAnsi="Arial" w:cs="Arial"/>
          <w:b/>
          <w:sz w:val="20"/>
          <w:szCs w:val="20"/>
        </w:rPr>
      </w:pPr>
      <w:r w:rsidRPr="00662BF0">
        <w:rPr>
          <w:rFonts w:ascii="Arial" w:eastAsia="Arial" w:hAnsi="Arial" w:cs="Arial"/>
          <w:b/>
          <w:sz w:val="20"/>
          <w:szCs w:val="20"/>
        </w:rPr>
        <w:t>Servicio de Protección Especializada a la Niñez y Adolescencia</w:t>
      </w:r>
    </w:p>
    <w:p w14:paraId="357465CF"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continuará fortaleciendo una red regional compuesta por 81 proyectos especializados, que actualmente atiende a 6.712 niños, niñas y adolescentes.</w:t>
      </w:r>
    </w:p>
    <w:p w14:paraId="4D7275F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contempla ampliar las alternativas de acogimiento familiar, fortalecer los procesos de adopción y actualizar la oferta residencial. Para el segundo semestre se proyectan nuevos concursos para residencias de discapacidad severa y residencias terapéuticas en Ovalle, La Serena, Coquimbo e Illapel.</w:t>
      </w:r>
    </w:p>
    <w:p w14:paraId="3B244E50"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se continuará el Plan Chile Renace, que actualmente mantiene a 15 niños y lactantes con Familias de Acogida, y se reforzará la estrategia regional contra la explotación sexual de niños, niñas y adolescentes. La principal proyección hacia 2027 será aumentar la cobertura, reducir las listas de espera y mejorar los estándares técnicos de la atención especializada.</w:t>
      </w:r>
    </w:p>
    <w:p w14:paraId="07FC7C3B" w14:textId="77777777" w:rsidR="00662BF0" w:rsidRPr="00235583" w:rsidRDefault="00662BF0" w:rsidP="00744FB6">
      <w:pPr>
        <w:spacing w:line="276" w:lineRule="auto"/>
        <w:ind w:firstLine="708"/>
        <w:jc w:val="both"/>
        <w:rPr>
          <w:rFonts w:ascii="Arial" w:eastAsia="Arial" w:hAnsi="Arial" w:cs="Arial"/>
          <w:bCs/>
          <w:sz w:val="20"/>
          <w:szCs w:val="20"/>
        </w:rPr>
      </w:pPr>
    </w:p>
    <w:p w14:paraId="7ADD14C5" w14:textId="73019E9F" w:rsidR="00235583" w:rsidRDefault="00235583" w:rsidP="00744FB6">
      <w:pPr>
        <w:pStyle w:val="Prrafodelista"/>
        <w:numPr>
          <w:ilvl w:val="1"/>
          <w:numId w:val="4"/>
        </w:numPr>
        <w:spacing w:line="276" w:lineRule="auto"/>
        <w:jc w:val="both"/>
        <w:rPr>
          <w:rFonts w:ascii="Arial" w:eastAsia="Arial" w:hAnsi="Arial" w:cs="Arial"/>
          <w:b/>
          <w:sz w:val="20"/>
          <w:szCs w:val="20"/>
        </w:rPr>
      </w:pPr>
      <w:r w:rsidRPr="00662BF0">
        <w:rPr>
          <w:rFonts w:ascii="Arial" w:eastAsia="Arial" w:hAnsi="Arial" w:cs="Arial"/>
          <w:b/>
          <w:sz w:val="20"/>
          <w:szCs w:val="20"/>
        </w:rPr>
        <w:t>Bienes nacionales</w:t>
      </w:r>
    </w:p>
    <w:p w14:paraId="0DD95A29" w14:textId="77777777" w:rsidR="00662BF0" w:rsidRPr="00662BF0" w:rsidRDefault="00662BF0" w:rsidP="00744FB6">
      <w:pPr>
        <w:pStyle w:val="Prrafodelista"/>
        <w:spacing w:line="276" w:lineRule="auto"/>
        <w:ind w:left="1440"/>
        <w:jc w:val="both"/>
        <w:rPr>
          <w:rFonts w:ascii="Arial" w:eastAsia="Arial" w:hAnsi="Arial" w:cs="Arial"/>
          <w:b/>
          <w:sz w:val="20"/>
          <w:szCs w:val="20"/>
        </w:rPr>
      </w:pPr>
    </w:p>
    <w:p w14:paraId="0E72D53C"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continuará fortaleciendo la gestión social y territorial de los inmuebles fiscales. A julio se habían entregado tres nuevas concesiones gratuitas a organizaciones de Vicuña, La Serena y Coquimbo, además de realizarse 144 fiscalizaciones, incluyendo operativos para detectar ocupaciones irregulares y verificar el uso de terrenos fiscales.</w:t>
      </w:r>
    </w:p>
    <w:p w14:paraId="666B287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el segundo semestre se proyecta licitar la venta de 20 inmuebles fiscales, gestionar o normalizar 322 ocupaciones y completar una meta anual de 496 fiscalizaciones en las quince comunas.</w:t>
      </w:r>
    </w:p>
    <w:p w14:paraId="37FBB2D2" w14:textId="0C804033"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La programación también considera continuar la entrega de terrenos para vivienda, infraestructura, equipamiento comunitario y proyectos productivos, junto con el resguardo del acceso a bienes nacionales de uso público. </w:t>
      </w:r>
    </w:p>
    <w:p w14:paraId="04540144" w14:textId="77777777" w:rsidR="007655D1" w:rsidRPr="00235583" w:rsidRDefault="007655D1" w:rsidP="00744FB6">
      <w:pPr>
        <w:spacing w:line="276" w:lineRule="auto"/>
        <w:ind w:firstLine="708"/>
        <w:jc w:val="both"/>
        <w:rPr>
          <w:rFonts w:ascii="Arial" w:eastAsia="Arial" w:hAnsi="Arial" w:cs="Arial"/>
          <w:bCs/>
          <w:sz w:val="20"/>
          <w:szCs w:val="20"/>
        </w:rPr>
      </w:pPr>
    </w:p>
    <w:p w14:paraId="4E080378" w14:textId="45E51729" w:rsidR="00235583" w:rsidRDefault="00235583" w:rsidP="00744FB6">
      <w:pPr>
        <w:pStyle w:val="Prrafodelista"/>
        <w:numPr>
          <w:ilvl w:val="1"/>
          <w:numId w:val="4"/>
        </w:numPr>
        <w:spacing w:line="276" w:lineRule="auto"/>
        <w:jc w:val="both"/>
        <w:rPr>
          <w:rFonts w:ascii="Arial" w:eastAsia="Arial" w:hAnsi="Arial" w:cs="Arial"/>
          <w:b/>
          <w:sz w:val="20"/>
          <w:szCs w:val="20"/>
        </w:rPr>
      </w:pPr>
      <w:r w:rsidRPr="007655D1">
        <w:rPr>
          <w:rFonts w:ascii="Arial" w:eastAsia="Arial" w:hAnsi="Arial" w:cs="Arial"/>
          <w:b/>
          <w:sz w:val="20"/>
          <w:szCs w:val="20"/>
        </w:rPr>
        <w:t>Mujer</w:t>
      </w:r>
      <w:r w:rsidR="007655D1" w:rsidRPr="007655D1">
        <w:rPr>
          <w:rFonts w:ascii="Arial" w:eastAsia="Arial" w:hAnsi="Arial" w:cs="Arial"/>
          <w:b/>
          <w:sz w:val="20"/>
          <w:szCs w:val="20"/>
        </w:rPr>
        <w:t xml:space="preserve"> y Equidad de Género</w:t>
      </w:r>
    </w:p>
    <w:p w14:paraId="79B450D2" w14:textId="77777777" w:rsidR="007655D1" w:rsidRPr="007655D1" w:rsidRDefault="007655D1" w:rsidP="00744FB6">
      <w:pPr>
        <w:pStyle w:val="Prrafodelista"/>
        <w:spacing w:line="276" w:lineRule="auto"/>
        <w:ind w:left="1440"/>
        <w:jc w:val="both"/>
        <w:rPr>
          <w:rFonts w:ascii="Arial" w:eastAsia="Arial" w:hAnsi="Arial" w:cs="Arial"/>
          <w:b/>
          <w:sz w:val="20"/>
          <w:szCs w:val="20"/>
        </w:rPr>
      </w:pPr>
    </w:p>
    <w:p w14:paraId="247A02FD"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La programación regional prioriza la inserción laboral femenina en sectores como minería, construcción y energía; el fortalecimiento de emprendimientos; y la ampliación del Sistema Nacional de Apoyos y Cuidados. También contempla implementar la Ley </w:t>
      </w:r>
      <w:proofErr w:type="spellStart"/>
      <w:r w:rsidRPr="00235583">
        <w:rPr>
          <w:rFonts w:ascii="Arial" w:eastAsia="Arial" w:hAnsi="Arial" w:cs="Arial"/>
          <w:bCs/>
          <w:sz w:val="20"/>
          <w:szCs w:val="20"/>
        </w:rPr>
        <w:t>N.°</w:t>
      </w:r>
      <w:proofErr w:type="spellEnd"/>
      <w:r w:rsidRPr="00235583">
        <w:rPr>
          <w:rFonts w:ascii="Arial" w:eastAsia="Arial" w:hAnsi="Arial" w:cs="Arial"/>
          <w:bCs/>
          <w:sz w:val="20"/>
          <w:szCs w:val="20"/>
        </w:rPr>
        <w:t xml:space="preserve"> 21.675, mejorar la coordinación frente a la violencia de género y desarrollar un visor georreferenciado de personas con alta dependencia para apoyar a mujeres cuidadoras durante emergencias.</w:t>
      </w:r>
    </w:p>
    <w:p w14:paraId="720D77B1" w14:textId="77777777" w:rsidR="007655D1" w:rsidRPr="00235583" w:rsidRDefault="007655D1" w:rsidP="00744FB6">
      <w:pPr>
        <w:spacing w:line="276" w:lineRule="auto"/>
        <w:ind w:firstLine="708"/>
        <w:jc w:val="both"/>
        <w:rPr>
          <w:rFonts w:ascii="Arial" w:eastAsia="Arial" w:hAnsi="Arial" w:cs="Arial"/>
          <w:bCs/>
          <w:sz w:val="20"/>
          <w:szCs w:val="20"/>
        </w:rPr>
      </w:pPr>
    </w:p>
    <w:p w14:paraId="77D16911" w14:textId="77777777" w:rsidR="00235583" w:rsidRPr="00235583" w:rsidRDefault="00235583" w:rsidP="00744FB6">
      <w:pPr>
        <w:spacing w:line="276" w:lineRule="auto"/>
        <w:ind w:firstLine="708"/>
        <w:jc w:val="both"/>
        <w:rPr>
          <w:rFonts w:ascii="Arial" w:eastAsia="Arial" w:hAnsi="Arial" w:cs="Arial"/>
          <w:bCs/>
          <w:sz w:val="20"/>
          <w:szCs w:val="20"/>
        </w:rPr>
      </w:pPr>
      <w:proofErr w:type="spellStart"/>
      <w:r w:rsidRPr="00235583">
        <w:rPr>
          <w:rFonts w:ascii="Arial" w:eastAsia="Arial" w:hAnsi="Arial" w:cs="Arial"/>
          <w:bCs/>
          <w:sz w:val="20"/>
          <w:szCs w:val="20"/>
        </w:rPr>
        <w:t>SernamEG</w:t>
      </w:r>
      <w:proofErr w:type="spellEnd"/>
      <w:r w:rsidRPr="00235583">
        <w:rPr>
          <w:rFonts w:ascii="Arial" w:eastAsia="Arial" w:hAnsi="Arial" w:cs="Arial"/>
          <w:bCs/>
          <w:sz w:val="20"/>
          <w:szCs w:val="20"/>
        </w:rPr>
        <w:t xml:space="preserve"> mantiene durante 2026 su oferta programática regional. Entre sus principales líneas se encuentran Mujeres </w:t>
      </w:r>
      <w:proofErr w:type="gramStart"/>
      <w:r w:rsidRPr="00235583">
        <w:rPr>
          <w:rFonts w:ascii="Arial" w:eastAsia="Arial" w:hAnsi="Arial" w:cs="Arial"/>
          <w:bCs/>
          <w:sz w:val="20"/>
          <w:szCs w:val="20"/>
        </w:rPr>
        <w:t>Jefas</w:t>
      </w:r>
      <w:proofErr w:type="gramEnd"/>
      <w:r w:rsidRPr="00235583">
        <w:rPr>
          <w:rFonts w:ascii="Arial" w:eastAsia="Arial" w:hAnsi="Arial" w:cs="Arial"/>
          <w:bCs/>
          <w:sz w:val="20"/>
          <w:szCs w:val="20"/>
        </w:rPr>
        <w:t xml:space="preserve"> de Hogar, con una cobertura de 905 participantes; Mujer </w:t>
      </w:r>
      <w:r w:rsidRPr="00235583">
        <w:rPr>
          <w:rFonts w:ascii="Arial" w:eastAsia="Arial" w:hAnsi="Arial" w:cs="Arial"/>
          <w:bCs/>
          <w:sz w:val="20"/>
          <w:szCs w:val="20"/>
        </w:rPr>
        <w:lastRenderedPageBreak/>
        <w:t>Emprende, participación política, derechos sexuales y reproductivos y programas de prevención, atención y recuperación de las violencias, estos últimos con cobertura para más de 2.600 mujeres.</w:t>
      </w:r>
    </w:p>
    <w:p w14:paraId="37B8A41E" w14:textId="77777777" w:rsidR="00235583" w:rsidRPr="00235583" w:rsidRDefault="00235583" w:rsidP="00744FB6">
      <w:pPr>
        <w:spacing w:line="276" w:lineRule="auto"/>
        <w:jc w:val="both"/>
        <w:rPr>
          <w:rFonts w:ascii="Arial" w:eastAsia="Arial" w:hAnsi="Arial" w:cs="Arial"/>
          <w:bCs/>
          <w:sz w:val="20"/>
          <w:szCs w:val="20"/>
        </w:rPr>
      </w:pPr>
      <w:r w:rsidRPr="00235583">
        <w:rPr>
          <w:rFonts w:ascii="Arial" w:eastAsia="Arial" w:hAnsi="Arial" w:cs="Arial"/>
          <w:bCs/>
          <w:sz w:val="20"/>
          <w:szCs w:val="20"/>
        </w:rPr>
        <w:t>Para el segundo semestre se proyecta implementar el Programa 4 a 7 en nuevos establecimientos de La Serena y Coquimbo, con continuidad de recursos durante 2027. Asimismo, se busca financiar por aproximadamente $300 millones la conservación y mejoramiento integral de la Residencia Transitoria de La Serena.</w:t>
      </w:r>
    </w:p>
    <w:p w14:paraId="6E81F820"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PRODEMU proyecta fortalecer los programas dirigidos a mujeres rurales y la autonomía económica mediante una iniciativa financiada por el Gobierno Regional. También continuará la articulación con instituciones educativas y SENCE para apoyar la formación de mujeres, especialmente cuidadoras, estudiantes técnico-profesionales y sobrevivientes de cáncer de mama.</w:t>
      </w:r>
    </w:p>
    <w:p w14:paraId="0B18DA64" w14:textId="77777777" w:rsidR="00235583" w:rsidRPr="00235583" w:rsidRDefault="00235583" w:rsidP="00744FB6">
      <w:pPr>
        <w:spacing w:line="276" w:lineRule="auto"/>
        <w:jc w:val="both"/>
        <w:rPr>
          <w:rFonts w:ascii="Arial" w:eastAsia="Arial" w:hAnsi="Arial" w:cs="Arial"/>
          <w:bCs/>
          <w:sz w:val="20"/>
          <w:szCs w:val="20"/>
        </w:rPr>
      </w:pPr>
    </w:p>
    <w:p w14:paraId="537EDE0E" w14:textId="65B15413" w:rsidR="00235583" w:rsidRDefault="007655D1" w:rsidP="00744FB6">
      <w:pPr>
        <w:pStyle w:val="Prrafodelista"/>
        <w:numPr>
          <w:ilvl w:val="1"/>
          <w:numId w:val="4"/>
        </w:numPr>
        <w:spacing w:line="276" w:lineRule="auto"/>
        <w:jc w:val="both"/>
        <w:rPr>
          <w:rFonts w:ascii="Arial" w:eastAsia="Arial" w:hAnsi="Arial" w:cs="Arial"/>
          <w:b/>
          <w:sz w:val="20"/>
          <w:szCs w:val="20"/>
        </w:rPr>
      </w:pPr>
      <w:r w:rsidRPr="007655D1">
        <w:rPr>
          <w:rFonts w:ascii="Arial" w:eastAsia="Arial" w:hAnsi="Arial" w:cs="Arial"/>
          <w:b/>
          <w:sz w:val="20"/>
          <w:szCs w:val="20"/>
        </w:rPr>
        <w:t>Justicia y Derechos Humanos</w:t>
      </w:r>
    </w:p>
    <w:p w14:paraId="6C004389" w14:textId="77777777" w:rsidR="007655D1" w:rsidRPr="007655D1" w:rsidRDefault="007655D1" w:rsidP="00744FB6">
      <w:pPr>
        <w:pStyle w:val="Prrafodelista"/>
        <w:spacing w:line="276" w:lineRule="auto"/>
        <w:ind w:left="1440"/>
        <w:jc w:val="both"/>
        <w:rPr>
          <w:rFonts w:ascii="Arial" w:eastAsia="Arial" w:hAnsi="Arial" w:cs="Arial"/>
          <w:b/>
          <w:sz w:val="20"/>
          <w:szCs w:val="20"/>
        </w:rPr>
      </w:pPr>
    </w:p>
    <w:p w14:paraId="4519B3F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habilitó un espacio de espera infantil en la oficina del Registro Civil de Vicuña, como parte del programa Registro Civil Te Cuida. El Servicio Médico Legal cerró la brecha regional en alcoholemias y exámenes toxicológicos, luego de superar el desperfecto de su cromatógrafo, y fortaleció la coordinación con el Servicio de Salud para mejorar la atención en sexología forense y disminuir la victimización secundaria.</w:t>
      </w:r>
    </w:p>
    <w:p w14:paraId="061A3F1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Servicio Nacional de Reinserción Social Juvenil alcanzó 100 mediaciones exitosas, implementó un protocolo para casos atendidos simultáneamente con el Servicio de Protección Especializada y traspasó la administración de la escuela del centro cerrado al Servicio Local de Educación Pública.</w:t>
      </w:r>
    </w:p>
    <w:p w14:paraId="37F2EA7C"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el segundo semestre de 2026 se proyecta iniciar la implementación del Servicio Nacional de Acceso a la Justicia, fortalecer el trabajo conjunto entre Reinserción Social Juvenil y Gendarmería e incorporar nuevos vehículos institucionales financiados por el Gobierno Regional.</w:t>
      </w:r>
    </w:p>
    <w:p w14:paraId="7D1A796D"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continuará la ejecución del Plan Regional de Reinserción Social, que contempla 42 acuerdos para un período de cinco años y presenta un avance global del 42%. La programación considera acciones en educación, capacitación, empleabilidad y atención de mujeres privadas de libertad, junto con el fortalecimiento de las mesas contra la trata de personas, psiquiatría forense, mediación penal juvenil y coordinación del sistema de registro genético.</w:t>
      </w:r>
    </w:p>
    <w:p w14:paraId="00A75343" w14:textId="77777777" w:rsidR="009317F5" w:rsidRPr="00235583" w:rsidRDefault="009317F5" w:rsidP="00744FB6">
      <w:pPr>
        <w:spacing w:line="276" w:lineRule="auto"/>
        <w:ind w:firstLine="708"/>
        <w:jc w:val="both"/>
        <w:rPr>
          <w:rFonts w:ascii="Arial" w:eastAsia="Arial" w:hAnsi="Arial" w:cs="Arial"/>
          <w:bCs/>
          <w:sz w:val="20"/>
          <w:szCs w:val="20"/>
        </w:rPr>
      </w:pPr>
    </w:p>
    <w:p w14:paraId="7BB13764" w14:textId="397BE12D" w:rsidR="00235583" w:rsidRPr="009317F5" w:rsidRDefault="00235583" w:rsidP="00744FB6">
      <w:pPr>
        <w:pStyle w:val="Prrafodelista"/>
        <w:numPr>
          <w:ilvl w:val="1"/>
          <w:numId w:val="4"/>
        </w:numPr>
        <w:spacing w:line="276" w:lineRule="auto"/>
        <w:jc w:val="both"/>
        <w:rPr>
          <w:rFonts w:ascii="Arial" w:eastAsia="Arial" w:hAnsi="Arial" w:cs="Arial"/>
          <w:b/>
          <w:sz w:val="20"/>
          <w:szCs w:val="20"/>
        </w:rPr>
      </w:pPr>
      <w:r w:rsidRPr="009317F5">
        <w:rPr>
          <w:rFonts w:ascii="Arial" w:eastAsia="Arial" w:hAnsi="Arial" w:cs="Arial"/>
          <w:b/>
          <w:sz w:val="20"/>
          <w:szCs w:val="20"/>
        </w:rPr>
        <w:t xml:space="preserve">Educación </w:t>
      </w:r>
    </w:p>
    <w:p w14:paraId="58A6EDA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implementa un Plan Regional de Educación compuesto por nueve líneas de acción, orientadas a convivencia educativa, innovación, recuperación de aprendizajes, protección de trayectorias, inclusión social, coordinación territorial y fortalecimiento de la Nueva Educación Pública.</w:t>
      </w:r>
    </w:p>
    <w:p w14:paraId="16F77F3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materia de conectividad, 613 establecimientos y 150.735 estudiantes cuentan con acceso a internet mediante el programa Conectividad para la Educación 2030, con una inversión mensual regional superior a $126 millones. Además, 537 establecimientos —equivalentes al 68% de la oferta regional— cuentan con programas o modalidades de educación especial.</w:t>
      </w:r>
    </w:p>
    <w:p w14:paraId="2FD894F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Programa de Educación Intercultural Bilingüe se desarrolla en 323 establecimientos, con la participación de 201 educadores tradicionales. También se ejecutan talleres artísticos en 18 establecimientos, programas de fortalecimiento del inglés en zonas rurales y un Plan de Alfabetización que atiende a 60 personas adultas en ocho comunas.</w:t>
      </w:r>
    </w:p>
    <w:p w14:paraId="22D76062"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infraestructura se proyecta avanzar en la reposición del Liceo Eduardo Frei Montalva de Monte Patria, el Liceo Politécnico de Illapel y el proyecto de emergencia del Liceo Nicolás Federico Lohse de Los Vilos. Asimismo, se continuará la intervención de confort térmico de la Escuela Fronteriza de </w:t>
      </w:r>
      <w:proofErr w:type="spellStart"/>
      <w:r w:rsidRPr="00235583">
        <w:rPr>
          <w:rFonts w:ascii="Arial" w:eastAsia="Arial" w:hAnsi="Arial" w:cs="Arial"/>
          <w:bCs/>
          <w:sz w:val="20"/>
          <w:szCs w:val="20"/>
        </w:rPr>
        <w:t>Tulahuén</w:t>
      </w:r>
      <w:proofErr w:type="spellEnd"/>
      <w:r w:rsidRPr="00235583">
        <w:rPr>
          <w:rFonts w:ascii="Arial" w:eastAsia="Arial" w:hAnsi="Arial" w:cs="Arial"/>
          <w:bCs/>
          <w:sz w:val="20"/>
          <w:szCs w:val="20"/>
        </w:rPr>
        <w:t xml:space="preserve"> y la implementación de aulas sensoriales y zonas de servicios.</w:t>
      </w:r>
    </w:p>
    <w:p w14:paraId="3B99603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lastRenderedPageBreak/>
        <w:t>Para el segundo semestre de 2026 se contempla iniciar el proceso principal del Sistema de Admisión Escolar, informar los resultados del SNED 2026-2027, fortalecer la educación rural, desarrollar jornadas interculturales y continuar las acciones de convivencia y salud mental en las comunidades educativas. Hacia 2027, la programación se concentra en dar continuidad a estos programas, consolidar la Nueva Educación Pública y avanzar en los proyectos de infraestructura que permanezcan en ejecución.</w:t>
      </w:r>
    </w:p>
    <w:p w14:paraId="060D55A2" w14:textId="77777777" w:rsidR="00235583" w:rsidRPr="00235583" w:rsidRDefault="00235583" w:rsidP="00744FB6">
      <w:pPr>
        <w:spacing w:line="276" w:lineRule="auto"/>
        <w:jc w:val="both"/>
        <w:rPr>
          <w:rFonts w:ascii="Arial" w:eastAsia="Arial" w:hAnsi="Arial" w:cs="Arial"/>
          <w:bCs/>
          <w:sz w:val="20"/>
          <w:szCs w:val="20"/>
        </w:rPr>
      </w:pPr>
    </w:p>
    <w:p w14:paraId="489AE30B" w14:textId="1154FCAB" w:rsidR="00235583" w:rsidRDefault="009317F5" w:rsidP="00744FB6">
      <w:pPr>
        <w:pStyle w:val="Prrafodelista"/>
        <w:numPr>
          <w:ilvl w:val="1"/>
          <w:numId w:val="4"/>
        </w:numPr>
        <w:spacing w:line="276" w:lineRule="auto"/>
        <w:jc w:val="both"/>
        <w:rPr>
          <w:rFonts w:ascii="Arial" w:eastAsia="Arial" w:hAnsi="Arial" w:cs="Arial"/>
          <w:b/>
          <w:sz w:val="20"/>
          <w:szCs w:val="20"/>
        </w:rPr>
      </w:pPr>
      <w:r w:rsidRPr="009317F5">
        <w:rPr>
          <w:rFonts w:ascii="Arial" w:eastAsia="Arial" w:hAnsi="Arial" w:cs="Arial"/>
          <w:b/>
          <w:sz w:val="20"/>
          <w:szCs w:val="20"/>
        </w:rPr>
        <w:t>Trabajo y Previsión Social</w:t>
      </w:r>
    </w:p>
    <w:p w14:paraId="430B50C5" w14:textId="77777777" w:rsidR="009317F5" w:rsidRPr="009317F5" w:rsidRDefault="009317F5" w:rsidP="00744FB6">
      <w:pPr>
        <w:pStyle w:val="Prrafodelista"/>
        <w:spacing w:line="276" w:lineRule="auto"/>
        <w:ind w:left="1440"/>
        <w:jc w:val="both"/>
        <w:rPr>
          <w:rFonts w:ascii="Arial" w:eastAsia="Arial" w:hAnsi="Arial" w:cs="Arial"/>
          <w:b/>
          <w:sz w:val="20"/>
          <w:szCs w:val="20"/>
        </w:rPr>
      </w:pPr>
    </w:p>
    <w:p w14:paraId="790509DD"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Desde el 26 de abril de 2026 comenzó a regir la segunda etapa de reducción de la jornada laboral, disminuyendo su límite de 44 a 42 horas semanales. La Seremi del Trabajo continuará difundiendo la normativa, orientando a empleadores y trabajadores y promoviendo su adecuada implementación. </w:t>
      </w:r>
    </w:p>
    <w:p w14:paraId="51586091"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previsión social, continuó la implementación gradual de la Reforma de Pensiones. Desde febrero de 2026, las personas de 82 años o más pueden recibir una PGU máxima de $250.275, mientras que desde septiembre de 2026 este monto se extenderá a quienes tengan 75 años o más</w:t>
      </w:r>
    </w:p>
    <w:p w14:paraId="5436D14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el primer semestre de 2026, el IPS registró 135.938 atenciones y 188.503 trámites, un 15% más que en igual período de 2025. Además, se realizaron 54.198 operaciones mediante módulos de </w:t>
      </w:r>
      <w:proofErr w:type="spellStart"/>
      <w:r w:rsidRPr="00235583">
        <w:rPr>
          <w:rFonts w:ascii="Arial" w:eastAsia="Arial" w:hAnsi="Arial" w:cs="Arial"/>
          <w:bCs/>
          <w:sz w:val="20"/>
          <w:szCs w:val="20"/>
        </w:rPr>
        <w:t>autoconsulta</w:t>
      </w:r>
      <w:proofErr w:type="spellEnd"/>
      <w:r w:rsidRPr="00235583">
        <w:rPr>
          <w:rFonts w:ascii="Arial" w:eastAsia="Arial" w:hAnsi="Arial" w:cs="Arial"/>
          <w:bCs/>
          <w:sz w:val="20"/>
          <w:szCs w:val="20"/>
        </w:rPr>
        <w:t>.</w:t>
      </w:r>
    </w:p>
    <w:p w14:paraId="56079D22"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el año se incorporaron seis nuevos Centros de Atención Virtual en La Antena, La Pampa y Las Compañías, en La Serena; Huentelauquén Norte, en Canela; Caimanes, en Los Vilos; y La Higuera. También se proyecta habilitar nuevos centros en Tongoy y </w:t>
      </w:r>
      <w:proofErr w:type="spellStart"/>
      <w:r w:rsidRPr="00235583">
        <w:rPr>
          <w:rFonts w:ascii="Arial" w:eastAsia="Arial" w:hAnsi="Arial" w:cs="Arial"/>
          <w:bCs/>
          <w:sz w:val="20"/>
          <w:szCs w:val="20"/>
        </w:rPr>
        <w:t>Chillepín</w:t>
      </w:r>
      <w:proofErr w:type="spellEnd"/>
      <w:r w:rsidRPr="00235583">
        <w:rPr>
          <w:rFonts w:ascii="Arial" w:eastAsia="Arial" w:hAnsi="Arial" w:cs="Arial"/>
          <w:bCs/>
          <w:sz w:val="20"/>
          <w:szCs w:val="20"/>
        </w:rPr>
        <w:t>.</w:t>
      </w:r>
    </w:p>
    <w:p w14:paraId="7D24035B"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IPS contempla para 2026 prestaciones previsionales y de seguridad social por más de $412.547 millones, incluyendo jubilaciones, pensiones, montepíos, Pensión Garantizada Universal, pensiones de invalidez, bonificación por hijo, asignaciones familiares y subsidios de discapacidad.</w:t>
      </w:r>
    </w:p>
    <w:p w14:paraId="69A1AA60" w14:textId="77777777" w:rsidR="00235583" w:rsidRPr="00235583" w:rsidRDefault="00235583" w:rsidP="00744FB6">
      <w:pPr>
        <w:spacing w:line="276" w:lineRule="auto"/>
        <w:jc w:val="both"/>
        <w:rPr>
          <w:rFonts w:ascii="Arial" w:eastAsia="Arial" w:hAnsi="Arial" w:cs="Arial"/>
          <w:bCs/>
          <w:sz w:val="20"/>
          <w:szCs w:val="20"/>
        </w:rPr>
      </w:pPr>
      <w:r w:rsidRPr="00235583">
        <w:rPr>
          <w:rFonts w:ascii="Arial" w:eastAsia="Arial" w:hAnsi="Arial" w:cs="Arial"/>
          <w:bCs/>
          <w:sz w:val="20"/>
          <w:szCs w:val="20"/>
        </w:rPr>
        <w:t>SENCE informa una cobertura de 15.635 personas capacitadas, 24.043 atendidas mediante acciones de vinculación laboral y seis mil colocaciones en empleos. Además, 27.564 personas accedieron a subsidios, con una inversión regional informada de $11 mil millones.</w:t>
      </w:r>
    </w:p>
    <w:p w14:paraId="7A120980"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de SENCE considera implementar el subsidio a la contratación para la reactivación laboral, fortalecer las competencias digitales, vincular la formación con las necesidades reales del mercado e impulsar el Subsidio Unificado al Empleo. También se contempla un programa regional de capacitación por $400 millones para cursos asociados a sectores con mayor empleabilidad.</w:t>
      </w:r>
    </w:p>
    <w:p w14:paraId="2103718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2027, la Dirección del Trabajo orientará su gestión a fortalecer la fiscalización de la normativa laboral, previsional y de seguridad y salud en el trabajo; mejorar la atención mediante canales digitales e inclusivos; entregar mayor certeza jurídica; y promover el diálogo social y la solución colaborativa de conflictos.</w:t>
      </w:r>
    </w:p>
    <w:p w14:paraId="1C2735F7"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DICREP continuará fortaleciendo la recuperación de los créditos, la gestión de remates y la educación financiera relacionada con el cobro de excedentes. También se mantendrá hasta noviembre de 2026 la supervisión de las obras ejecutadas en el edificio institucional.</w:t>
      </w:r>
    </w:p>
    <w:p w14:paraId="77C99847" w14:textId="77777777" w:rsidR="009317F5" w:rsidRPr="00235583" w:rsidRDefault="009317F5" w:rsidP="00744FB6">
      <w:pPr>
        <w:spacing w:line="276" w:lineRule="auto"/>
        <w:ind w:firstLine="708"/>
        <w:jc w:val="both"/>
        <w:rPr>
          <w:rFonts w:ascii="Arial" w:eastAsia="Arial" w:hAnsi="Arial" w:cs="Arial"/>
          <w:bCs/>
          <w:sz w:val="20"/>
          <w:szCs w:val="20"/>
        </w:rPr>
      </w:pPr>
    </w:p>
    <w:p w14:paraId="77E6DC04" w14:textId="4D0E2A1B" w:rsidR="00235583" w:rsidRDefault="00235583" w:rsidP="00744FB6">
      <w:pPr>
        <w:pStyle w:val="Prrafodelista"/>
        <w:numPr>
          <w:ilvl w:val="1"/>
          <w:numId w:val="4"/>
        </w:numPr>
        <w:spacing w:line="276" w:lineRule="auto"/>
        <w:jc w:val="both"/>
        <w:rPr>
          <w:rFonts w:ascii="Arial" w:eastAsia="Arial" w:hAnsi="Arial" w:cs="Arial"/>
          <w:b/>
          <w:sz w:val="20"/>
          <w:szCs w:val="20"/>
        </w:rPr>
      </w:pPr>
      <w:r w:rsidRPr="009317F5">
        <w:rPr>
          <w:rFonts w:ascii="Arial" w:eastAsia="Arial" w:hAnsi="Arial" w:cs="Arial"/>
          <w:b/>
          <w:sz w:val="20"/>
          <w:szCs w:val="20"/>
        </w:rPr>
        <w:t>Pasos fronterizos</w:t>
      </w:r>
    </w:p>
    <w:p w14:paraId="3A58916B" w14:textId="77777777" w:rsidR="009317F5" w:rsidRPr="009317F5" w:rsidRDefault="009317F5" w:rsidP="00744FB6">
      <w:pPr>
        <w:pStyle w:val="Prrafodelista"/>
        <w:spacing w:line="276" w:lineRule="auto"/>
        <w:ind w:left="1440"/>
        <w:jc w:val="both"/>
        <w:rPr>
          <w:rFonts w:ascii="Arial" w:eastAsia="Arial" w:hAnsi="Arial" w:cs="Arial"/>
          <w:b/>
          <w:sz w:val="20"/>
          <w:szCs w:val="20"/>
        </w:rPr>
      </w:pPr>
    </w:p>
    <w:p w14:paraId="6E936B5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la temporada 2025-2026, el Paso Agua Negra registró un flujo de 71.141 personas, correspondiente a 37.440 ingresos y 33.701 salidas, confirmando la recuperación del tránsito internacional y la necesidad de ampliar la capacidad operativa del complejo.</w:t>
      </w:r>
    </w:p>
    <w:p w14:paraId="288A5D1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2026 se avanzó en la digitalización de la Ruta 41-CH mediante paneles dinámicos para informar en tiempo real el estado del paso. También se desarrolló un trabajo conjunto con </w:t>
      </w:r>
      <w:r w:rsidRPr="00235583">
        <w:rPr>
          <w:rFonts w:ascii="Arial" w:eastAsia="Arial" w:hAnsi="Arial" w:cs="Arial"/>
          <w:bCs/>
          <w:sz w:val="20"/>
          <w:szCs w:val="20"/>
        </w:rPr>
        <w:lastRenderedPageBreak/>
        <w:t>SUBTEL y WOM para incorporar conectividad 5G y se establecieron acuerdos con INACAP y la Universidad de La Serena para apoyar proyectos de energías renovables e infraestructura.</w:t>
      </w:r>
    </w:p>
    <w:p w14:paraId="5F22563B"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2026-2027 contempla implementar una nueva matriz energética basada en energías renovables, con una inversión estimada de $353 millones, y una planta de tratamiento de aguas servidas por aproximadamente $200 millones. También se proyecta ampliar la habitabilidad del complejo y habilitar una tercera línea de atención, con inversiones estimadas de $2.000 millones y $1.000 millones, respectivamente.</w:t>
      </w:r>
    </w:p>
    <w:p w14:paraId="43530095"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Asimismo, se continuará la renovación de grupos electrógenos, la contratación de servicios esenciales y los trabajos preventivos de encauzamiento de quebradas. En paralelo, se proyecta avanzar en el estudio de diseño de un nuevo complejo fronterizo, con una inversión estimada de $850 millones, como etapa previa a una futura construcción de mayor capacidad.</w:t>
      </w:r>
    </w:p>
    <w:p w14:paraId="2121FB46" w14:textId="77777777" w:rsidR="009317F5" w:rsidRPr="00235583" w:rsidRDefault="009317F5" w:rsidP="00744FB6">
      <w:pPr>
        <w:spacing w:line="276" w:lineRule="auto"/>
        <w:ind w:firstLine="708"/>
        <w:jc w:val="both"/>
        <w:rPr>
          <w:rFonts w:ascii="Arial" w:eastAsia="Arial" w:hAnsi="Arial" w:cs="Arial"/>
          <w:bCs/>
          <w:sz w:val="20"/>
          <w:szCs w:val="20"/>
        </w:rPr>
      </w:pPr>
    </w:p>
    <w:p w14:paraId="624A243A" w14:textId="7F066267" w:rsidR="00235583" w:rsidRDefault="009317F5" w:rsidP="00744FB6">
      <w:pPr>
        <w:pStyle w:val="Prrafodelista"/>
        <w:numPr>
          <w:ilvl w:val="1"/>
          <w:numId w:val="4"/>
        </w:numPr>
        <w:spacing w:line="276" w:lineRule="auto"/>
        <w:jc w:val="both"/>
        <w:rPr>
          <w:rFonts w:ascii="Arial" w:eastAsia="Arial" w:hAnsi="Arial" w:cs="Arial"/>
          <w:b/>
          <w:sz w:val="20"/>
          <w:szCs w:val="20"/>
        </w:rPr>
      </w:pPr>
      <w:r w:rsidRPr="009317F5">
        <w:rPr>
          <w:rFonts w:ascii="Arial" w:eastAsia="Arial" w:hAnsi="Arial" w:cs="Arial"/>
          <w:b/>
          <w:sz w:val="20"/>
          <w:szCs w:val="20"/>
        </w:rPr>
        <w:t xml:space="preserve">Subsecretaria de Desarrollo regional y Administrativo </w:t>
      </w:r>
    </w:p>
    <w:p w14:paraId="4D517E92" w14:textId="77777777" w:rsidR="00524785" w:rsidRPr="009317F5" w:rsidRDefault="00524785" w:rsidP="00524785">
      <w:pPr>
        <w:pStyle w:val="Prrafodelista"/>
        <w:spacing w:line="276" w:lineRule="auto"/>
        <w:ind w:left="1440"/>
        <w:jc w:val="both"/>
        <w:rPr>
          <w:rFonts w:ascii="Arial" w:eastAsia="Arial" w:hAnsi="Arial" w:cs="Arial"/>
          <w:b/>
          <w:sz w:val="20"/>
          <w:szCs w:val="20"/>
        </w:rPr>
      </w:pPr>
    </w:p>
    <w:p w14:paraId="515CA59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SUBDERE mantiene 38 proyectos en ejecución en las quince comunas, correspondientes principalmente a los programas de Mejoramiento de Barrios, Mejoramiento Urbano y Tenencia Responsable de Animales de Compañía. A julio se habían transferido $2.254 millones para 18 iniciativas y se mantenía una cartera de otros 16 proyectos por aproximadamente $2.459 millones.</w:t>
      </w:r>
    </w:p>
    <w:p w14:paraId="6A48F6CE"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Entre las principales inversiones destaca el Centro Integral para Adultos Mayores de Salamanca, por más de $7.867 millones, cuyo proceso de licitación está proyectado para el segundo semestre de 2026. También continúa el mejoramiento del Edificio Consistorial de Ovalle, con una inversión total superior a $21.501 millones y un avance físico informado de 90,34%.</w:t>
      </w:r>
    </w:p>
    <w:p w14:paraId="0C31271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La Serena se proyecta iniciar la restauración del Museo Escultórico de la Avenida Francisco de Aguirre, que considera la recuperación de 34 esculturas de mármol, sus bases y el portal patrimonial, con una inversión cercana a $346 millones. También se ejecutan iniciativas de saneamiento, espacios comunitarios, televigilancia y mejoramiento urbano en comunas como Combarbalá, Río Hurtado, Illapel y Los Vilos.</w:t>
      </w:r>
    </w:p>
    <w:p w14:paraId="54B54032" w14:textId="276EEFC1"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Para 2026 se contempla transferir aproximadamente $18.452 millones por concepto de Royalty Minero y más de $2.782 millones por compensación de predios exentos. El Bono de Aseo alcanzará a 688 trabajadores, con recursos superiores a $771 millones. </w:t>
      </w:r>
    </w:p>
    <w:p w14:paraId="56C7613D" w14:textId="77777777" w:rsidR="003247FE" w:rsidRPr="00235583" w:rsidRDefault="003247FE" w:rsidP="00744FB6">
      <w:pPr>
        <w:spacing w:line="276" w:lineRule="auto"/>
        <w:ind w:firstLine="708"/>
        <w:jc w:val="both"/>
        <w:rPr>
          <w:rFonts w:ascii="Arial" w:eastAsia="Arial" w:hAnsi="Arial" w:cs="Arial"/>
          <w:bCs/>
          <w:sz w:val="20"/>
          <w:szCs w:val="20"/>
        </w:rPr>
      </w:pPr>
    </w:p>
    <w:p w14:paraId="486CA9C3" w14:textId="4BFC0953" w:rsidR="00235583" w:rsidRDefault="00235583" w:rsidP="00744FB6">
      <w:pPr>
        <w:pStyle w:val="Prrafodelista"/>
        <w:numPr>
          <w:ilvl w:val="1"/>
          <w:numId w:val="4"/>
        </w:numPr>
        <w:spacing w:line="276" w:lineRule="auto"/>
        <w:jc w:val="both"/>
        <w:rPr>
          <w:rFonts w:ascii="Arial" w:eastAsia="Arial" w:hAnsi="Arial" w:cs="Arial"/>
          <w:b/>
          <w:sz w:val="20"/>
          <w:szCs w:val="20"/>
        </w:rPr>
      </w:pPr>
      <w:r w:rsidRPr="003247FE">
        <w:rPr>
          <w:rFonts w:ascii="Arial" w:eastAsia="Arial" w:hAnsi="Arial" w:cs="Arial"/>
          <w:b/>
          <w:sz w:val="20"/>
          <w:szCs w:val="20"/>
        </w:rPr>
        <w:t>Medio ambiente</w:t>
      </w:r>
    </w:p>
    <w:p w14:paraId="2C5063E9" w14:textId="77777777" w:rsidR="003247FE" w:rsidRPr="003247FE" w:rsidRDefault="003247FE" w:rsidP="00744FB6">
      <w:pPr>
        <w:pStyle w:val="Prrafodelista"/>
        <w:spacing w:line="276" w:lineRule="auto"/>
        <w:ind w:left="1440"/>
        <w:jc w:val="both"/>
        <w:rPr>
          <w:rFonts w:ascii="Arial" w:eastAsia="Arial" w:hAnsi="Arial" w:cs="Arial"/>
          <w:b/>
          <w:sz w:val="20"/>
          <w:szCs w:val="20"/>
        </w:rPr>
      </w:pPr>
    </w:p>
    <w:p w14:paraId="0BB9716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se adjudicaron ocho nuevos proyectos del Fondo de Protección Ambiental por $48 millones, destinados a organizaciones sociales, comunidades indígenas y establecimientos educacionales de seis comunas. Además, 43 establecimientos se encuentran en evaluación para incorporarse o avanzar dentro del Sistema Nacional de Certificación Ambiental.</w:t>
      </w:r>
    </w:p>
    <w:p w14:paraId="643FAABF"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 materia de cambio climático, seis comunas ya cuentan con Planes de Acción Comunal aprobados —Río Hurtado, Monte Patria, Coquimbo, Combarbalá, Salamanca y Andacollo— y otras siete se encuentran elaborando sus instrumentos. La programación contempla iniciar la implementación de medidas del Plan Regional, especialmente en protección costera, restauración, gobernanza climática y fortalecimiento de capacidades municipales y ciudadanas.</w:t>
      </w:r>
    </w:p>
    <w:p w14:paraId="79863BAC"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se continuará la implementación de la Ley REP, el apoyo a recicladores de base y municipios, la valorización de residuos orgánicos y de construcción, y la elaboración del Plan Estratégico Regional de Residuos Sólidos. Asimismo, se proyecta avanzar en la Estrategia Nacional de Residuos Marinos y Microplásticos.</w:t>
      </w:r>
    </w:p>
    <w:p w14:paraId="2DAC30F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regulación ambiental se continuará la actualización del Plan de Descontaminación de Andacollo y la elaboración de la Norma Secundaria de Calidad Ambiental para las aguas de la </w:t>
      </w:r>
      <w:r w:rsidRPr="00235583">
        <w:rPr>
          <w:rFonts w:ascii="Arial" w:eastAsia="Arial" w:hAnsi="Arial" w:cs="Arial"/>
          <w:bCs/>
          <w:sz w:val="20"/>
          <w:szCs w:val="20"/>
        </w:rPr>
        <w:lastRenderedPageBreak/>
        <w:t>cuenca del río Elqui. También seguirá el desarrollo del mapa de ruido de La Serena-Coquimbo, la aplicación de la normativa de contaminación lumínica y la identificación de sitios con potencial presencia de contaminantes.</w:t>
      </w:r>
    </w:p>
    <w:p w14:paraId="41DF5AC2" w14:textId="77777777"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Finalmente, se fortalecerá la protección de humedales y especies como el </w:t>
      </w:r>
      <w:proofErr w:type="spellStart"/>
      <w:r w:rsidRPr="00235583">
        <w:rPr>
          <w:rFonts w:ascii="Arial" w:eastAsia="Arial" w:hAnsi="Arial" w:cs="Arial"/>
          <w:bCs/>
          <w:sz w:val="20"/>
          <w:szCs w:val="20"/>
        </w:rPr>
        <w:t>lucumillo</w:t>
      </w:r>
      <w:proofErr w:type="spellEnd"/>
      <w:r w:rsidRPr="00235583">
        <w:rPr>
          <w:rFonts w:ascii="Arial" w:eastAsia="Arial" w:hAnsi="Arial" w:cs="Arial"/>
          <w:bCs/>
          <w:sz w:val="20"/>
          <w:szCs w:val="20"/>
        </w:rPr>
        <w:t xml:space="preserve">, la restauración </w:t>
      </w:r>
      <w:proofErr w:type="spellStart"/>
      <w:r w:rsidRPr="00235583">
        <w:rPr>
          <w:rFonts w:ascii="Arial" w:eastAsia="Arial" w:hAnsi="Arial" w:cs="Arial"/>
          <w:bCs/>
          <w:sz w:val="20"/>
          <w:szCs w:val="20"/>
        </w:rPr>
        <w:t>socioecológica</w:t>
      </w:r>
      <w:proofErr w:type="spellEnd"/>
      <w:r w:rsidRPr="00235583">
        <w:rPr>
          <w:rFonts w:ascii="Arial" w:eastAsia="Arial" w:hAnsi="Arial" w:cs="Arial"/>
          <w:bCs/>
          <w:sz w:val="20"/>
          <w:szCs w:val="20"/>
        </w:rPr>
        <w:t xml:space="preserve"> de la Reserva de la Biósfera Fray Jorge y la gobernanza de los ecosistemas marino-costeros. La programación incluye el lanzamiento de la Ruta Patrimonial Costera La Higuera-Freirina, el apoyo a los planes de administración de caletas y la promoción de iniciativas de economía azul y turismo sostenible. </w:t>
      </w:r>
    </w:p>
    <w:p w14:paraId="31AD09EC" w14:textId="77777777" w:rsidR="003247FE" w:rsidRPr="00235583" w:rsidRDefault="003247FE" w:rsidP="00744FB6">
      <w:pPr>
        <w:spacing w:line="276" w:lineRule="auto"/>
        <w:ind w:firstLine="708"/>
        <w:jc w:val="both"/>
        <w:rPr>
          <w:rFonts w:ascii="Arial" w:eastAsia="Arial" w:hAnsi="Arial" w:cs="Arial"/>
          <w:bCs/>
          <w:sz w:val="20"/>
          <w:szCs w:val="20"/>
        </w:rPr>
      </w:pPr>
    </w:p>
    <w:p w14:paraId="74C40B43" w14:textId="35EE1B30" w:rsidR="00235583" w:rsidRDefault="003247FE" w:rsidP="00744FB6">
      <w:pPr>
        <w:pStyle w:val="Prrafodelista"/>
        <w:numPr>
          <w:ilvl w:val="1"/>
          <w:numId w:val="4"/>
        </w:numPr>
        <w:spacing w:line="276" w:lineRule="auto"/>
        <w:jc w:val="both"/>
        <w:rPr>
          <w:rFonts w:ascii="Arial" w:eastAsia="Arial" w:hAnsi="Arial" w:cs="Arial"/>
          <w:b/>
          <w:sz w:val="20"/>
          <w:szCs w:val="20"/>
        </w:rPr>
      </w:pPr>
      <w:r w:rsidRPr="003247FE">
        <w:rPr>
          <w:rFonts w:ascii="Arial" w:eastAsia="Arial" w:hAnsi="Arial" w:cs="Arial"/>
          <w:b/>
          <w:sz w:val="20"/>
          <w:szCs w:val="20"/>
        </w:rPr>
        <w:t>Salud</w:t>
      </w:r>
    </w:p>
    <w:p w14:paraId="3E63FB43" w14:textId="77777777" w:rsidR="00DF09C6" w:rsidRPr="003247FE" w:rsidRDefault="00DF09C6" w:rsidP="00744FB6">
      <w:pPr>
        <w:pStyle w:val="Prrafodelista"/>
        <w:spacing w:line="276" w:lineRule="auto"/>
        <w:ind w:left="1440"/>
        <w:jc w:val="both"/>
        <w:rPr>
          <w:rFonts w:ascii="Arial" w:eastAsia="Arial" w:hAnsi="Arial" w:cs="Arial"/>
          <w:b/>
          <w:sz w:val="20"/>
          <w:szCs w:val="20"/>
        </w:rPr>
      </w:pPr>
    </w:p>
    <w:p w14:paraId="1FF0F32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región avanza simultáneamente en la construcción de tres nuevos hospitales. El Hospital de La Serena presenta un 19% de avance y considera una inversión superior a US$271 millones, con una población beneficiaria estimada en más de 700 mil habitantes. El Hospital de Coquimbo alcanza un 29% de ejecución y el nuevo Hospital de Illapel, un 19%; este último aumentará su capacidad desde 54 a 154 camas y triplicará sus pabellones, beneficiando a más de 81 mil personas de la provincia de Choapa.</w:t>
      </w:r>
    </w:p>
    <w:p w14:paraId="79AC71D5"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También finalizaron las obras del nuevo </w:t>
      </w:r>
      <w:proofErr w:type="spellStart"/>
      <w:r w:rsidRPr="00235583">
        <w:rPr>
          <w:rFonts w:ascii="Arial" w:eastAsia="Arial" w:hAnsi="Arial" w:cs="Arial"/>
          <w:bCs/>
          <w:sz w:val="20"/>
          <w:szCs w:val="20"/>
        </w:rPr>
        <w:t>Cesfam</w:t>
      </w:r>
      <w:proofErr w:type="spellEnd"/>
      <w:r w:rsidRPr="00235583">
        <w:rPr>
          <w:rFonts w:ascii="Arial" w:eastAsia="Arial" w:hAnsi="Arial" w:cs="Arial"/>
          <w:bCs/>
          <w:sz w:val="20"/>
          <w:szCs w:val="20"/>
        </w:rPr>
        <w:t xml:space="preserve"> de </w:t>
      </w:r>
      <w:proofErr w:type="spellStart"/>
      <w:r w:rsidRPr="00235583">
        <w:rPr>
          <w:rFonts w:ascii="Arial" w:eastAsia="Arial" w:hAnsi="Arial" w:cs="Arial"/>
          <w:bCs/>
          <w:sz w:val="20"/>
          <w:szCs w:val="20"/>
        </w:rPr>
        <w:t>Carén</w:t>
      </w:r>
      <w:proofErr w:type="spellEnd"/>
      <w:r w:rsidRPr="00235583">
        <w:rPr>
          <w:rFonts w:ascii="Arial" w:eastAsia="Arial" w:hAnsi="Arial" w:cs="Arial"/>
          <w:bCs/>
          <w:sz w:val="20"/>
          <w:szCs w:val="20"/>
        </w:rPr>
        <w:t xml:space="preserve">, en Monte Patria, con una inversión superior a $9 mil millones y una cobertura para más de cinco mil habitantes rurales. A ello se suman la Posta de Salud Rural de </w:t>
      </w:r>
      <w:proofErr w:type="spellStart"/>
      <w:r w:rsidRPr="00235583">
        <w:rPr>
          <w:rFonts w:ascii="Arial" w:eastAsia="Arial" w:hAnsi="Arial" w:cs="Arial"/>
          <w:bCs/>
          <w:sz w:val="20"/>
          <w:szCs w:val="20"/>
        </w:rPr>
        <w:t>Huintil</w:t>
      </w:r>
      <w:proofErr w:type="spellEnd"/>
      <w:r w:rsidRPr="00235583">
        <w:rPr>
          <w:rFonts w:ascii="Arial" w:eastAsia="Arial" w:hAnsi="Arial" w:cs="Arial"/>
          <w:bCs/>
          <w:sz w:val="20"/>
          <w:szCs w:val="20"/>
        </w:rPr>
        <w:t>, en Illapel, por $773 millones, y la Base SAMU de Salamanca, por $336 millones.</w:t>
      </w:r>
    </w:p>
    <w:p w14:paraId="6797FCB3"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Atención Primaria Universal continuará su implementación en Canela e Illapel, comunas que reúnen más de 41 mil personas inscritas y una inversión superior a $922 millones. Paralelamente, se mantendrán las estrategias de reducción de listas de espera y el fortalecimiento de la red asistencial, la atención de especialidades y la capacidad de respuesta prehospitalaria.</w:t>
      </w:r>
    </w:p>
    <w:p w14:paraId="4CC656D6" w14:textId="77777777" w:rsidR="00235583" w:rsidRPr="00235583" w:rsidRDefault="00235583" w:rsidP="00744FB6">
      <w:pPr>
        <w:spacing w:line="276" w:lineRule="auto"/>
        <w:jc w:val="both"/>
        <w:rPr>
          <w:rFonts w:ascii="Arial" w:eastAsia="Arial" w:hAnsi="Arial" w:cs="Arial"/>
          <w:bCs/>
          <w:sz w:val="20"/>
          <w:szCs w:val="20"/>
        </w:rPr>
      </w:pPr>
      <w:r w:rsidRPr="00235583">
        <w:rPr>
          <w:rFonts w:ascii="Arial" w:eastAsia="Arial" w:hAnsi="Arial" w:cs="Arial"/>
          <w:bCs/>
          <w:sz w:val="20"/>
          <w:szCs w:val="20"/>
        </w:rPr>
        <w:t>Entre las prioridades sanitarias se encuentra fortalecer la vigilancia epidemiológica, la inmunización, la fiscalización basada en riesgos y el control de la calidad del agua, los alimentos, residuos y vectores. También se proyecta avanzar en la reposición de la flota institucional y en el proyecto del nuevo Laboratorio de Salud Pública Ambiental.</w:t>
      </w:r>
    </w:p>
    <w:p w14:paraId="5FE1ABD3" w14:textId="05DE093A" w:rsidR="00DA194F"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Tras el sistema frontal de julio de 2026, la gestión incorporará como prioridad la respuesta frente a emergencias, reforzando el control sanitario de albergues, sistemas de agua potable, alcantarillado y alimentos, junto con la prevención de brotes y la coordinación con municipios, SENAPRED y la red asistencial. </w:t>
      </w:r>
    </w:p>
    <w:p w14:paraId="0E995686" w14:textId="77777777" w:rsidR="00DA194F" w:rsidRPr="00235583" w:rsidRDefault="00DA194F" w:rsidP="00744FB6">
      <w:pPr>
        <w:spacing w:line="276" w:lineRule="auto"/>
        <w:ind w:firstLine="708"/>
        <w:jc w:val="both"/>
        <w:rPr>
          <w:rFonts w:ascii="Arial" w:eastAsia="Arial" w:hAnsi="Arial" w:cs="Arial"/>
          <w:bCs/>
          <w:sz w:val="20"/>
          <w:szCs w:val="20"/>
        </w:rPr>
      </w:pPr>
    </w:p>
    <w:p w14:paraId="071A8D73" w14:textId="6B9C16D6" w:rsidR="00235583" w:rsidRDefault="00235583" w:rsidP="00744FB6">
      <w:pPr>
        <w:pStyle w:val="Prrafodelista"/>
        <w:numPr>
          <w:ilvl w:val="1"/>
          <w:numId w:val="4"/>
        </w:numPr>
        <w:spacing w:line="276" w:lineRule="auto"/>
        <w:jc w:val="both"/>
        <w:rPr>
          <w:rFonts w:ascii="Arial" w:eastAsia="Arial" w:hAnsi="Arial" w:cs="Arial"/>
          <w:b/>
          <w:sz w:val="20"/>
          <w:szCs w:val="20"/>
        </w:rPr>
      </w:pPr>
      <w:r w:rsidRPr="00DF09C6">
        <w:rPr>
          <w:rFonts w:ascii="Arial" w:eastAsia="Arial" w:hAnsi="Arial" w:cs="Arial"/>
          <w:b/>
          <w:sz w:val="20"/>
          <w:szCs w:val="20"/>
        </w:rPr>
        <w:t>Minería</w:t>
      </w:r>
    </w:p>
    <w:p w14:paraId="10D853A1" w14:textId="77777777" w:rsidR="00DF09C6" w:rsidRPr="00DF09C6" w:rsidRDefault="00DF09C6" w:rsidP="00744FB6">
      <w:pPr>
        <w:pStyle w:val="Prrafodelista"/>
        <w:spacing w:line="276" w:lineRule="auto"/>
        <w:ind w:left="1440"/>
        <w:jc w:val="both"/>
        <w:rPr>
          <w:rFonts w:ascii="Arial" w:eastAsia="Arial" w:hAnsi="Arial" w:cs="Arial"/>
          <w:b/>
          <w:sz w:val="20"/>
          <w:szCs w:val="20"/>
        </w:rPr>
      </w:pPr>
    </w:p>
    <w:p w14:paraId="20B1191F"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Durante 2026, el primer concurso PAMMA Inicia Productivo adjudicó 14 proyectos por $136,5 millones, destinados a fortalecer la productividad y la seguridad operacional de las faenas, incluyendo acompañamiento técnico durante su ejecución.</w:t>
      </w:r>
    </w:p>
    <w:p w14:paraId="451D716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Asimismo, PAMMA Equipa y Desarrolla se encontraba en proceso de admisibilidad. Estas líneas consideran subsidios de hasta $6 millones sin cofinanciamiento y de hasta $12 millones con un aporte mínimo del 10% por parte de las personas beneficiarias.</w:t>
      </w:r>
    </w:p>
    <w:p w14:paraId="159496FF"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contempla continuar la ejecución del programa FNDR, avanzar en los 30 proyectos declarados admisibles en Limarí y evaluar las 37 nuevas postulaciones provenientes de Choapa. También se proyecta mantener las asesorías técnicas, ambientales, sanitarias, legales y de seguridad, junto con apoyar la formalización de faenas y la incorporación de energías renovables.</w:t>
      </w:r>
    </w:p>
    <w:p w14:paraId="76F9A01E" w14:textId="77777777" w:rsidR="00DF09C6" w:rsidRDefault="00DF09C6" w:rsidP="00744FB6">
      <w:pPr>
        <w:spacing w:line="276" w:lineRule="auto"/>
        <w:jc w:val="both"/>
        <w:rPr>
          <w:rFonts w:ascii="Arial" w:eastAsia="Arial" w:hAnsi="Arial" w:cs="Arial"/>
          <w:bCs/>
          <w:sz w:val="20"/>
          <w:szCs w:val="20"/>
        </w:rPr>
      </w:pPr>
    </w:p>
    <w:p w14:paraId="0755937D" w14:textId="77777777" w:rsidR="00524785" w:rsidRDefault="00524785" w:rsidP="00744FB6">
      <w:pPr>
        <w:spacing w:line="276" w:lineRule="auto"/>
        <w:jc w:val="both"/>
        <w:rPr>
          <w:rFonts w:ascii="Arial" w:eastAsia="Arial" w:hAnsi="Arial" w:cs="Arial"/>
          <w:bCs/>
          <w:sz w:val="20"/>
          <w:szCs w:val="20"/>
        </w:rPr>
      </w:pPr>
    </w:p>
    <w:p w14:paraId="3FAD5438" w14:textId="77777777" w:rsidR="00524785" w:rsidRDefault="00524785" w:rsidP="00744FB6">
      <w:pPr>
        <w:spacing w:line="276" w:lineRule="auto"/>
        <w:jc w:val="both"/>
        <w:rPr>
          <w:rFonts w:ascii="Arial" w:eastAsia="Arial" w:hAnsi="Arial" w:cs="Arial"/>
          <w:bCs/>
          <w:sz w:val="20"/>
          <w:szCs w:val="20"/>
        </w:rPr>
      </w:pPr>
    </w:p>
    <w:p w14:paraId="1DDE623B" w14:textId="3C7DC2D2" w:rsidR="00235583" w:rsidRDefault="00235583" w:rsidP="00744FB6">
      <w:pPr>
        <w:pStyle w:val="Prrafodelista"/>
        <w:numPr>
          <w:ilvl w:val="1"/>
          <w:numId w:val="4"/>
        </w:numPr>
        <w:spacing w:line="276" w:lineRule="auto"/>
        <w:jc w:val="both"/>
        <w:rPr>
          <w:rFonts w:ascii="Arial" w:eastAsia="Arial" w:hAnsi="Arial" w:cs="Arial"/>
          <w:b/>
          <w:sz w:val="20"/>
          <w:szCs w:val="20"/>
        </w:rPr>
      </w:pPr>
      <w:r w:rsidRPr="00DF09C6">
        <w:rPr>
          <w:rFonts w:ascii="Arial" w:eastAsia="Arial" w:hAnsi="Arial" w:cs="Arial"/>
          <w:b/>
          <w:sz w:val="20"/>
          <w:szCs w:val="20"/>
        </w:rPr>
        <w:lastRenderedPageBreak/>
        <w:t>Ciencia</w:t>
      </w:r>
      <w:r w:rsidR="00DF09C6">
        <w:rPr>
          <w:rFonts w:ascii="Arial" w:eastAsia="Arial" w:hAnsi="Arial" w:cs="Arial"/>
          <w:b/>
          <w:sz w:val="20"/>
          <w:szCs w:val="20"/>
        </w:rPr>
        <w:t>s</w:t>
      </w:r>
      <w:r w:rsidR="00D8179D">
        <w:rPr>
          <w:rFonts w:ascii="Arial" w:eastAsia="Arial" w:hAnsi="Arial" w:cs="Arial"/>
          <w:b/>
          <w:sz w:val="20"/>
          <w:szCs w:val="20"/>
        </w:rPr>
        <w:t xml:space="preserve">, </w:t>
      </w:r>
      <w:r w:rsidR="00D8179D" w:rsidRPr="00D8179D">
        <w:rPr>
          <w:rFonts w:ascii="Arial" w:eastAsia="Arial" w:hAnsi="Arial" w:cs="Arial"/>
          <w:b/>
          <w:sz w:val="20"/>
          <w:szCs w:val="20"/>
        </w:rPr>
        <w:t>Tecnología, Conocimiento e Innovación</w:t>
      </w:r>
    </w:p>
    <w:p w14:paraId="223108B7" w14:textId="77777777" w:rsidR="00DF09C6" w:rsidRPr="00DF09C6" w:rsidRDefault="00DF09C6" w:rsidP="00744FB6">
      <w:pPr>
        <w:pStyle w:val="Prrafodelista"/>
        <w:spacing w:line="276" w:lineRule="auto"/>
        <w:ind w:left="1440"/>
        <w:jc w:val="both"/>
        <w:rPr>
          <w:rFonts w:ascii="Arial" w:eastAsia="Arial" w:hAnsi="Arial" w:cs="Arial"/>
          <w:b/>
          <w:sz w:val="20"/>
          <w:szCs w:val="20"/>
        </w:rPr>
      </w:pPr>
    </w:p>
    <w:p w14:paraId="776B2A1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Durante 2026, ANID registra una ejecución regional superior a $2.399 millones, concentrada principalmente en proyectos de investigación. De este monto, cerca de $131 millones corresponden a iniciativas astronómicas vinculadas a </w:t>
      </w:r>
      <w:proofErr w:type="spellStart"/>
      <w:r w:rsidRPr="00235583">
        <w:rPr>
          <w:rFonts w:ascii="Arial" w:eastAsia="Arial" w:hAnsi="Arial" w:cs="Arial"/>
          <w:bCs/>
          <w:sz w:val="20"/>
          <w:szCs w:val="20"/>
        </w:rPr>
        <w:t>Fondecyt</w:t>
      </w:r>
      <w:proofErr w:type="spellEnd"/>
      <w:r w:rsidRPr="00235583">
        <w:rPr>
          <w:rFonts w:ascii="Arial" w:eastAsia="Arial" w:hAnsi="Arial" w:cs="Arial"/>
          <w:bCs/>
          <w:sz w:val="20"/>
          <w:szCs w:val="20"/>
        </w:rPr>
        <w:t>, Gemini Sur y el Fondo ALMA-ANID.</w:t>
      </w:r>
    </w:p>
    <w:p w14:paraId="653A32E4"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Entre los principales proyectos destaca el Programa de Financiamiento Estructural de Investigación, Desarrollo e Innovación Universitaria adjudicado a la Universidad de La Serena. La iniciativa contempla una inversión total de $16.720 millones durante diez años para desarrollar capacidades de supercomputación e inteligencia artificial aplicada a desafíos como la gestión del agua, la agroindustria, la astronomía, la minería sustentable y la economía circular.</w:t>
      </w:r>
    </w:p>
    <w:p w14:paraId="04BF5389"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El Proyecto Asociativo Regional Explora presenta un avance aproximado del 60%, equivalente a $174 millones, e incorporó un planetario móvil que recorre establecimientos educacionales y ferias científicas de la región. La programación considera completar durante el segundo semestre el 100% de su ejecución, alcanzando los $290 millones.</w:t>
      </w:r>
    </w:p>
    <w:p w14:paraId="3AF4682A"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se avanzó en la gobernanza del astroturismo, el estudio del impacto de la contaminación lumínica y la participación regional en iniciativas de inteligencia artificial, innovación minera, tecnologías de inclusión y soluciones frente a la escasez hídrica. En este contexto, La Serena y Coquimbo fueron incorporadas a la iniciativa Ciudades por la Inteligencia Artificial.</w:t>
      </w:r>
    </w:p>
    <w:p w14:paraId="4D4CF257"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Para el segundo semestre de 2026 se proyecta fortalecer el Comité Regional de Ciencia, Tecnología e Innovación, avanzar en la elaboración de la estrategia regional del sector y desarrollar el estudio de prefactibilidad de un parque científico-tecnológico. Asimismo, se contempla activar la Comisión Regional para el Cuidado de los Cielos Nocturnos y participar en las mesas regionales de recursos hídricos y cambio climático.</w:t>
      </w:r>
    </w:p>
    <w:p w14:paraId="32AFA910" w14:textId="77777777" w:rsidR="00D8179D"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programación también incluye una Feria de Ciencias itinerante, visitas a diez sitios de protección mediante un convenio con CEAZA, acciones de divulgación junto con la Escuela de Periodismo de la Universidad de La Serena y la realización de la Semana de la Ciencia</w:t>
      </w:r>
      <w:r w:rsidR="00D8179D">
        <w:rPr>
          <w:rFonts w:ascii="Arial" w:eastAsia="Arial" w:hAnsi="Arial" w:cs="Arial"/>
          <w:bCs/>
          <w:sz w:val="20"/>
          <w:szCs w:val="20"/>
        </w:rPr>
        <w:t>.</w:t>
      </w:r>
    </w:p>
    <w:p w14:paraId="5FBBBA61" w14:textId="77777777" w:rsidR="005D4FAF" w:rsidRDefault="005D4FAF" w:rsidP="00744FB6">
      <w:pPr>
        <w:spacing w:line="276" w:lineRule="auto"/>
        <w:ind w:firstLine="708"/>
        <w:jc w:val="both"/>
        <w:rPr>
          <w:rFonts w:ascii="Arial" w:eastAsia="Arial" w:hAnsi="Arial" w:cs="Arial"/>
          <w:bCs/>
          <w:sz w:val="20"/>
          <w:szCs w:val="20"/>
        </w:rPr>
      </w:pPr>
    </w:p>
    <w:p w14:paraId="1BF9E0B4" w14:textId="55D049E5" w:rsidR="00235583" w:rsidRPr="00D8179D" w:rsidRDefault="00235583" w:rsidP="00744FB6">
      <w:pPr>
        <w:spacing w:line="276" w:lineRule="auto"/>
        <w:ind w:firstLine="708"/>
        <w:jc w:val="both"/>
        <w:rPr>
          <w:rFonts w:ascii="Arial" w:eastAsia="Arial" w:hAnsi="Arial" w:cs="Arial"/>
          <w:b/>
          <w:sz w:val="20"/>
          <w:szCs w:val="20"/>
        </w:rPr>
      </w:pPr>
      <w:r w:rsidRPr="00235583">
        <w:rPr>
          <w:rFonts w:ascii="Arial" w:eastAsia="Arial" w:hAnsi="Arial" w:cs="Arial"/>
          <w:bCs/>
          <w:sz w:val="20"/>
          <w:szCs w:val="20"/>
        </w:rPr>
        <w:t xml:space="preserve"> </w:t>
      </w:r>
    </w:p>
    <w:p w14:paraId="5C2E1ED9" w14:textId="08D169BC" w:rsidR="00235583" w:rsidRPr="00D8179D" w:rsidRDefault="00D8179D" w:rsidP="00744FB6">
      <w:pPr>
        <w:pStyle w:val="Prrafodelista"/>
        <w:numPr>
          <w:ilvl w:val="1"/>
          <w:numId w:val="4"/>
        </w:numPr>
        <w:spacing w:line="276" w:lineRule="auto"/>
        <w:jc w:val="both"/>
        <w:rPr>
          <w:rFonts w:ascii="Arial" w:eastAsia="Arial" w:hAnsi="Arial" w:cs="Arial"/>
          <w:b/>
          <w:sz w:val="20"/>
          <w:szCs w:val="20"/>
        </w:rPr>
      </w:pPr>
      <w:r w:rsidRPr="00D8179D">
        <w:rPr>
          <w:rFonts w:ascii="Arial" w:eastAsia="Arial" w:hAnsi="Arial" w:cs="Arial"/>
          <w:b/>
          <w:sz w:val="20"/>
          <w:szCs w:val="20"/>
        </w:rPr>
        <w:t>Obras Públicas</w:t>
      </w:r>
    </w:p>
    <w:p w14:paraId="698C4066" w14:textId="77777777" w:rsidR="00D8179D" w:rsidRPr="00D8179D" w:rsidRDefault="00D8179D" w:rsidP="00744FB6">
      <w:pPr>
        <w:pStyle w:val="Prrafodelista"/>
        <w:spacing w:line="276" w:lineRule="auto"/>
        <w:ind w:left="1440"/>
        <w:jc w:val="both"/>
        <w:rPr>
          <w:rFonts w:ascii="Arial" w:eastAsia="Arial" w:hAnsi="Arial" w:cs="Arial"/>
          <w:bCs/>
          <w:sz w:val="20"/>
          <w:szCs w:val="20"/>
        </w:rPr>
      </w:pPr>
    </w:p>
    <w:p w14:paraId="70625348"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Entre enero y julio de 2026, el MOP ejecutó más de $71.198 millones. La Dirección de Vialidad mantiene 43 contratos simultáneos, correspondientes a conservación de caminos, caminos básicos, seguridad vial y estudios de ingeniería.</w:t>
      </w:r>
    </w:p>
    <w:p w14:paraId="0721D2F1"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Concluyó la etapa de anteproyecto avanzado de la alternativa de circunvalación Coquimbo-La Serena, de aproximadamente 16 kilómetros, que beneficiará a más de 500 mil habitantes y permitirá mejorar la conectividad de la conurbación.</w:t>
      </w:r>
    </w:p>
    <w:p w14:paraId="37A61CAD"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También avanzan las obras de modernización del Aeródromo La Florida, que consideran ampliar el terminal desde 4.360 a 13.550 metros cuadrados. A ello se suma la tercera concesión del aeropuerto, destinada a responder al aumento sostenido de pasajeros.</w:t>
      </w:r>
    </w:p>
    <w:p w14:paraId="7AA6EA5E"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 xml:space="preserve">En seguridad hídrica continúan las obras del Canal Matriz </w:t>
      </w:r>
      <w:proofErr w:type="spellStart"/>
      <w:r w:rsidRPr="00235583">
        <w:rPr>
          <w:rFonts w:ascii="Arial" w:eastAsia="Arial" w:hAnsi="Arial" w:cs="Arial"/>
          <w:bCs/>
          <w:sz w:val="20"/>
          <w:szCs w:val="20"/>
        </w:rPr>
        <w:t>Cogotí</w:t>
      </w:r>
      <w:proofErr w:type="spellEnd"/>
      <w:r w:rsidRPr="00235583">
        <w:rPr>
          <w:rFonts w:ascii="Arial" w:eastAsia="Arial" w:hAnsi="Arial" w:cs="Arial"/>
          <w:bCs/>
          <w:sz w:val="20"/>
          <w:szCs w:val="20"/>
        </w:rPr>
        <w:t xml:space="preserve"> y los trabajos en sistemas de aguas lluvias, cauces y quebradas. Durante 2026 se inauguró la rehabilitación del Canal Bellavista, que beneficiará directamente a más de 1.530 regantes de La Serena y Coquimbo.</w:t>
      </w:r>
    </w:p>
    <w:p w14:paraId="707A09F6" w14:textId="77777777" w:rsidR="00235583" w:rsidRP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Subdirección de Servicios Sanitarios Rurales ejecuta 20 contratos por más de $12.530 millones, destacando los proyectos de Las Ramadas de Punitaqui, Santa Virginia en Illapel y Varillar en Vicuña.</w:t>
      </w:r>
    </w:p>
    <w:p w14:paraId="1C4FEE70" w14:textId="65FB065F" w:rsidR="00235583" w:rsidRDefault="00235583" w:rsidP="00744FB6">
      <w:pPr>
        <w:spacing w:line="276" w:lineRule="auto"/>
        <w:ind w:firstLine="708"/>
        <w:jc w:val="both"/>
        <w:rPr>
          <w:rFonts w:ascii="Arial" w:eastAsia="Arial" w:hAnsi="Arial" w:cs="Arial"/>
          <w:bCs/>
          <w:sz w:val="20"/>
          <w:szCs w:val="20"/>
        </w:rPr>
      </w:pPr>
      <w:r w:rsidRPr="00235583">
        <w:rPr>
          <w:rFonts w:ascii="Arial" w:eastAsia="Arial" w:hAnsi="Arial" w:cs="Arial"/>
          <w:bCs/>
          <w:sz w:val="20"/>
          <w:szCs w:val="20"/>
        </w:rPr>
        <w:t>La cartera estratégica incluye además la planta desaladora regional, los hospitales de La Serena y Coquimbo, la reposición del puente Marquesa, el Liceo Politécnico de Illapel y proyectos portuarios, deportivos, culturales y de seguridad. Para el segundo</w:t>
      </w:r>
      <w:r w:rsidR="00B93694">
        <w:rPr>
          <w:rFonts w:ascii="Arial" w:eastAsia="Arial" w:hAnsi="Arial" w:cs="Arial"/>
          <w:bCs/>
          <w:sz w:val="20"/>
          <w:szCs w:val="20"/>
        </w:rPr>
        <w:t xml:space="preserve"> </w:t>
      </w:r>
      <w:r w:rsidR="00B93694" w:rsidRPr="00B93694">
        <w:rPr>
          <w:rFonts w:ascii="Arial" w:eastAsia="Arial" w:hAnsi="Arial" w:cs="Arial"/>
          <w:bCs/>
          <w:sz w:val="20"/>
          <w:szCs w:val="20"/>
        </w:rPr>
        <w:t>semestre de 2026 se proyecta ejecutar más de $72.210 millones adicionales.</w:t>
      </w:r>
    </w:p>
    <w:p w14:paraId="330010B4" w14:textId="77777777" w:rsidR="00917384" w:rsidRDefault="00917384" w:rsidP="00744FB6">
      <w:pPr>
        <w:spacing w:line="276" w:lineRule="auto"/>
        <w:ind w:firstLine="708"/>
        <w:jc w:val="both"/>
        <w:rPr>
          <w:rFonts w:ascii="Arial" w:eastAsia="Arial" w:hAnsi="Arial" w:cs="Arial"/>
          <w:bCs/>
          <w:sz w:val="20"/>
          <w:szCs w:val="20"/>
        </w:rPr>
      </w:pPr>
    </w:p>
    <w:p w14:paraId="216E54CB" w14:textId="77777777" w:rsidR="003406B3" w:rsidRPr="00524785" w:rsidRDefault="003406B3" w:rsidP="00744FB6">
      <w:pPr>
        <w:pStyle w:val="Prrafodelista"/>
        <w:numPr>
          <w:ilvl w:val="0"/>
          <w:numId w:val="13"/>
        </w:numPr>
        <w:spacing w:line="276" w:lineRule="auto"/>
        <w:jc w:val="both"/>
        <w:rPr>
          <w:rFonts w:ascii="Arial" w:eastAsia="Arial" w:hAnsi="Arial" w:cs="Arial"/>
          <w:b/>
          <w:color w:val="0E2841" w:themeColor="text2"/>
          <w:sz w:val="20"/>
          <w:szCs w:val="20"/>
        </w:rPr>
      </w:pPr>
      <w:r w:rsidRPr="00524785">
        <w:rPr>
          <w:rFonts w:ascii="Arial" w:eastAsia="Arial" w:hAnsi="Arial" w:cs="Arial"/>
          <w:b/>
          <w:color w:val="0E2841" w:themeColor="text2"/>
          <w:kern w:val="2"/>
          <w:sz w:val="20"/>
          <w:szCs w:val="20"/>
          <w:lang w:eastAsia="en-US"/>
          <w14:ligatures w14:val="standardContextual"/>
        </w:rPr>
        <w:t>Plan de acción regional 2026-2030</w:t>
      </w:r>
    </w:p>
    <w:p w14:paraId="20B7ABFE" w14:textId="77777777" w:rsidR="003406B3" w:rsidRPr="008F3466" w:rsidRDefault="003406B3" w:rsidP="00744FB6">
      <w:pPr>
        <w:pStyle w:val="Prrafodelista"/>
        <w:spacing w:line="276" w:lineRule="auto"/>
        <w:ind w:left="1080"/>
        <w:jc w:val="both"/>
        <w:rPr>
          <w:rFonts w:ascii="Arial" w:eastAsia="Arial" w:hAnsi="Arial" w:cs="Arial"/>
          <w:bCs/>
          <w:sz w:val="20"/>
          <w:szCs w:val="20"/>
        </w:rPr>
      </w:pPr>
    </w:p>
    <w:p w14:paraId="414DE43F" w14:textId="77777777" w:rsidR="003406B3" w:rsidRPr="008F3466" w:rsidRDefault="003406B3" w:rsidP="00DA194F">
      <w:pPr>
        <w:spacing w:line="276" w:lineRule="auto"/>
        <w:ind w:firstLine="360"/>
        <w:jc w:val="both"/>
        <w:rPr>
          <w:rFonts w:ascii="Arial" w:eastAsia="Arial" w:hAnsi="Arial" w:cs="Arial"/>
          <w:sz w:val="20"/>
          <w:szCs w:val="20"/>
        </w:rPr>
      </w:pPr>
      <w:r w:rsidRPr="008F3466">
        <w:rPr>
          <w:rFonts w:ascii="Arial" w:eastAsia="Arial" w:hAnsi="Arial" w:cs="Arial"/>
          <w:sz w:val="20"/>
          <w:szCs w:val="20"/>
        </w:rPr>
        <w:t>El presente Plan de Acción de la Delegación Presidencial Regional de Coquimbo establece</w:t>
      </w:r>
    </w:p>
    <w:p w14:paraId="643A2ED5" w14:textId="77777777" w:rsidR="003406B3" w:rsidRPr="008F3466" w:rsidRDefault="003406B3" w:rsidP="00744FB6">
      <w:pPr>
        <w:spacing w:line="276" w:lineRule="auto"/>
        <w:jc w:val="both"/>
        <w:rPr>
          <w:rFonts w:ascii="Arial" w:eastAsia="Arial" w:hAnsi="Arial" w:cs="Arial"/>
          <w:sz w:val="20"/>
          <w:szCs w:val="20"/>
        </w:rPr>
      </w:pPr>
      <w:proofErr w:type="gramStart"/>
      <w:r w:rsidRPr="008F3466">
        <w:rPr>
          <w:rFonts w:ascii="Arial" w:eastAsia="Arial" w:hAnsi="Arial" w:cs="Arial"/>
          <w:sz w:val="20"/>
          <w:szCs w:val="20"/>
        </w:rPr>
        <w:t>los hitos y acciones más relevantes a desarrollar</w:t>
      </w:r>
      <w:proofErr w:type="gramEnd"/>
      <w:r w:rsidRPr="008F3466">
        <w:rPr>
          <w:rFonts w:ascii="Arial" w:eastAsia="Arial" w:hAnsi="Arial" w:cs="Arial"/>
          <w:sz w:val="20"/>
          <w:szCs w:val="20"/>
        </w:rPr>
        <w:t xml:space="preserve"> en el período 2026–2030, organizados en dos horizontes: programación de corto plazo (junio 2026 – junio 2027) y legado de Gobierno (2026–2030). Ambos horizontes se articulan en los tres ejes estratégicos declarados por el </w:t>
      </w:r>
      <w:proofErr w:type="gramStart"/>
      <w:r w:rsidRPr="008F3466">
        <w:rPr>
          <w:rFonts w:ascii="Arial" w:eastAsia="Arial" w:hAnsi="Arial" w:cs="Arial"/>
          <w:sz w:val="20"/>
          <w:szCs w:val="20"/>
        </w:rPr>
        <w:t>Presidente</w:t>
      </w:r>
      <w:proofErr w:type="gramEnd"/>
      <w:r w:rsidRPr="008F3466">
        <w:rPr>
          <w:rFonts w:ascii="Arial" w:eastAsia="Arial" w:hAnsi="Arial" w:cs="Arial"/>
          <w:sz w:val="20"/>
          <w:szCs w:val="20"/>
        </w:rPr>
        <w:t xml:space="preserve"> de la República.</w:t>
      </w:r>
    </w:p>
    <w:p w14:paraId="27239B70" w14:textId="77777777" w:rsidR="003406B3" w:rsidRPr="008F3466" w:rsidRDefault="003406B3" w:rsidP="00744FB6">
      <w:pPr>
        <w:spacing w:line="276" w:lineRule="auto"/>
        <w:ind w:left="360"/>
        <w:jc w:val="both"/>
        <w:rPr>
          <w:rFonts w:ascii="Arial" w:eastAsia="Arial" w:hAnsi="Arial" w:cs="Arial"/>
          <w:sz w:val="20"/>
          <w:szCs w:val="20"/>
        </w:rPr>
      </w:pPr>
    </w:p>
    <w:p w14:paraId="1C0EED68" w14:textId="77777777" w:rsidR="003406B3" w:rsidRPr="00924D64" w:rsidRDefault="003406B3" w:rsidP="00744FB6">
      <w:pPr>
        <w:pStyle w:val="Prrafodelista"/>
        <w:numPr>
          <w:ilvl w:val="1"/>
          <w:numId w:val="4"/>
        </w:numPr>
        <w:spacing w:line="276" w:lineRule="auto"/>
        <w:jc w:val="both"/>
        <w:rPr>
          <w:rFonts w:ascii="Arial" w:eastAsia="Arial" w:hAnsi="Arial" w:cs="Arial"/>
          <w:b/>
          <w:sz w:val="20"/>
          <w:szCs w:val="20"/>
        </w:rPr>
      </w:pPr>
      <w:r w:rsidRPr="00924D64">
        <w:rPr>
          <w:rFonts w:ascii="Arial" w:eastAsia="Arial" w:hAnsi="Arial" w:cs="Arial"/>
          <w:b/>
          <w:sz w:val="20"/>
          <w:szCs w:val="20"/>
        </w:rPr>
        <w:t>Programación 1 junio 2026 - 1 junio 2027</w:t>
      </w:r>
    </w:p>
    <w:p w14:paraId="03B680D5" w14:textId="77777777" w:rsidR="003406B3" w:rsidRPr="008F3466" w:rsidRDefault="003406B3" w:rsidP="00744FB6">
      <w:pPr>
        <w:pStyle w:val="Prrafodelista"/>
        <w:spacing w:line="276" w:lineRule="auto"/>
        <w:ind w:left="1080"/>
        <w:jc w:val="both"/>
        <w:rPr>
          <w:rFonts w:ascii="Arial" w:eastAsia="Arial" w:hAnsi="Arial" w:cs="Arial"/>
          <w:bCs/>
          <w:sz w:val="20"/>
          <w:szCs w:val="20"/>
        </w:rPr>
      </w:pPr>
    </w:p>
    <w:p w14:paraId="0B791AE3" w14:textId="77777777" w:rsidR="003406B3" w:rsidRPr="00924D64" w:rsidRDefault="003406B3" w:rsidP="00744FB6">
      <w:pPr>
        <w:pStyle w:val="Prrafodelista"/>
        <w:numPr>
          <w:ilvl w:val="2"/>
          <w:numId w:val="4"/>
        </w:numPr>
        <w:spacing w:line="276" w:lineRule="auto"/>
        <w:ind w:left="567"/>
        <w:jc w:val="both"/>
        <w:rPr>
          <w:rFonts w:ascii="Arial" w:eastAsia="Arial" w:hAnsi="Arial" w:cs="Arial"/>
          <w:b/>
          <w:sz w:val="20"/>
          <w:szCs w:val="20"/>
        </w:rPr>
      </w:pPr>
      <w:r w:rsidRPr="00924D64">
        <w:rPr>
          <w:rFonts w:ascii="Arial" w:eastAsia="Arial" w:hAnsi="Arial" w:cs="Arial"/>
          <w:b/>
          <w:sz w:val="20"/>
          <w:szCs w:val="20"/>
        </w:rPr>
        <w:t xml:space="preserve"> Eje 1 — Seguridad Pública</w:t>
      </w:r>
    </w:p>
    <w:p w14:paraId="40093016" w14:textId="77777777" w:rsidR="003406B3" w:rsidRPr="000B56AF"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 xml:space="preserve">Instalación OS.9 Coquimbo: Puesta en marcha de la Sección Regional OS.9 (inversión $140 MM) para investigación de crimen organizado. </w:t>
      </w:r>
    </w:p>
    <w:p w14:paraId="3B86899E" w14:textId="77777777" w:rsidR="003406B3" w:rsidRPr="000B56AF"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 xml:space="preserve">Plan Antinarcóticos Limarí-Choapa: Intensificación coordinada OS7 + BREA en comunas rurales con alta presencia de narco-cultivo. </w:t>
      </w:r>
    </w:p>
    <w:p w14:paraId="335A5322" w14:textId="77777777" w:rsidR="003406B3"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Consejo Regional Crimen Organizado: Sesiones trimestrales con Fiscalía, PDI, Carabineros, Aduanas e Impuestos Internos; seguimiento de metas del Plan 2026.</w:t>
      </w:r>
    </w:p>
    <w:p w14:paraId="2B3405F0" w14:textId="77777777" w:rsidR="003406B3" w:rsidRPr="000B56AF"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Despliegue policial urbano: Plan de aumento de patrullajes focalizados en sectores de mayor victimización de La Serena, Coquimbo, Ovalle e Illapel.</w:t>
      </w:r>
    </w:p>
    <w:p w14:paraId="05D47FB7" w14:textId="77777777" w:rsidR="003406B3" w:rsidRPr="000B56AF"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 xml:space="preserve">Reducción percepción inseguridad: Campaña comunicacional territorial vinculada a resultados concretos de seguridad (victimización, decomisos). </w:t>
      </w:r>
    </w:p>
    <w:p w14:paraId="44343372" w14:textId="77777777" w:rsidR="003406B3" w:rsidRPr="000B56AF" w:rsidRDefault="003406B3" w:rsidP="00744FB6">
      <w:pPr>
        <w:pStyle w:val="Prrafodelista"/>
        <w:numPr>
          <w:ilvl w:val="0"/>
          <w:numId w:val="12"/>
        </w:numPr>
        <w:spacing w:line="276" w:lineRule="auto"/>
        <w:jc w:val="both"/>
        <w:rPr>
          <w:rFonts w:ascii="Arial" w:eastAsia="Arial" w:hAnsi="Arial" w:cs="Arial"/>
          <w:sz w:val="20"/>
          <w:szCs w:val="20"/>
        </w:rPr>
      </w:pPr>
      <w:r w:rsidRPr="000B56AF">
        <w:rPr>
          <w:rFonts w:ascii="Arial" w:eastAsia="Arial" w:hAnsi="Arial" w:cs="Arial"/>
          <w:sz w:val="20"/>
          <w:szCs w:val="20"/>
        </w:rPr>
        <w:t xml:space="preserve">. Coordinación interinstitucional VIF: Mesas locales de violencia intrafamiliar en todas las provincias con Fiscalía, Carabineros y SERNAMEG. </w:t>
      </w:r>
    </w:p>
    <w:p w14:paraId="21A67D73" w14:textId="77777777" w:rsidR="003406B3" w:rsidRPr="008F3466" w:rsidRDefault="003406B3" w:rsidP="00744FB6">
      <w:pPr>
        <w:pStyle w:val="Prrafodelista"/>
        <w:spacing w:line="276" w:lineRule="auto"/>
        <w:ind w:left="1080"/>
        <w:jc w:val="both"/>
        <w:rPr>
          <w:rFonts w:ascii="Arial" w:eastAsia="Arial" w:hAnsi="Arial" w:cs="Arial"/>
          <w:sz w:val="20"/>
          <w:szCs w:val="20"/>
        </w:rPr>
      </w:pPr>
    </w:p>
    <w:p w14:paraId="0B2760E0" w14:textId="77777777" w:rsidR="003406B3" w:rsidRPr="00924D64" w:rsidRDefault="003406B3" w:rsidP="00744FB6">
      <w:pPr>
        <w:pStyle w:val="Prrafodelista"/>
        <w:numPr>
          <w:ilvl w:val="2"/>
          <w:numId w:val="4"/>
        </w:numPr>
        <w:spacing w:line="276" w:lineRule="auto"/>
        <w:ind w:left="567"/>
        <w:jc w:val="both"/>
        <w:rPr>
          <w:rFonts w:ascii="Arial" w:eastAsia="Arial" w:hAnsi="Arial" w:cs="Arial"/>
          <w:b/>
          <w:sz w:val="20"/>
          <w:szCs w:val="20"/>
        </w:rPr>
      </w:pPr>
      <w:r w:rsidRPr="00924D64">
        <w:rPr>
          <w:rFonts w:ascii="Arial" w:eastAsia="Arial" w:hAnsi="Arial" w:cs="Arial"/>
          <w:b/>
          <w:sz w:val="20"/>
          <w:szCs w:val="20"/>
        </w:rPr>
        <w:t>Eje 2 — Crisis Hídrica</w:t>
      </w:r>
    </w:p>
    <w:p w14:paraId="00BC186B"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Declaratoria de Zona de Emergencia Hídrica: Gestión ante el Gobierno Central para declarar la Región de Coquimbo como prioridad nacional en materia hídrica. </w:t>
      </w:r>
    </w:p>
    <w:p w14:paraId="4B016656"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Mesa Hídrica Regional Permanente: Instalación de instancia con MOP, DGA, DOH, Aguas del Valle, Juntas de Vigilancia y sector agrícola para coordinación y seguimiento. </w:t>
      </w:r>
    </w:p>
    <w:p w14:paraId="0FBFC431"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Eliminación progresiva de camiones aljibe: Plan de reemplazo de camiones aljibe por sistemas permanentes en las 15 comunas bajo decreto de escasez. Inicio en comunas más críticas. </w:t>
      </w:r>
    </w:p>
    <w:p w14:paraId="4AD64DAA"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Fortalecimiento APR/SCR: Diagnóstico, inversión y modernización de los sistemas de agua potable rural en provincias de Elqui, Limarí y Choapa. </w:t>
      </w:r>
    </w:p>
    <w:p w14:paraId="1A6E3FA3"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Desaladora Coquimbo-La Serena: Seguimiento y aceleración del proceso de construcción de planta desaladora el panul. </w:t>
      </w:r>
    </w:p>
    <w:p w14:paraId="128C11A1"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Recarga de acuíferos piloto: Coordinación con DGA para implementar un proyecto piloto de recarga artificial de acuíferos en la cuenca del Limarí. </w:t>
      </w:r>
    </w:p>
    <w:p w14:paraId="228D16EC" w14:textId="77777777" w:rsidR="003406B3" w:rsidRPr="008F3466" w:rsidRDefault="003406B3" w:rsidP="00744FB6">
      <w:pPr>
        <w:pStyle w:val="Prrafodelista"/>
        <w:spacing w:line="276" w:lineRule="auto"/>
        <w:ind w:left="1080"/>
        <w:jc w:val="both"/>
        <w:rPr>
          <w:rFonts w:ascii="Arial" w:eastAsia="Arial" w:hAnsi="Arial" w:cs="Arial"/>
          <w:sz w:val="20"/>
          <w:szCs w:val="20"/>
        </w:rPr>
      </w:pPr>
    </w:p>
    <w:p w14:paraId="19B50F83" w14:textId="77777777" w:rsidR="003406B3" w:rsidRPr="00924D64" w:rsidRDefault="003406B3" w:rsidP="00744FB6">
      <w:pPr>
        <w:pStyle w:val="Prrafodelista"/>
        <w:numPr>
          <w:ilvl w:val="2"/>
          <w:numId w:val="4"/>
        </w:numPr>
        <w:spacing w:line="276" w:lineRule="auto"/>
        <w:ind w:left="567"/>
        <w:jc w:val="both"/>
        <w:rPr>
          <w:rFonts w:ascii="Arial" w:eastAsia="Arial" w:hAnsi="Arial" w:cs="Arial"/>
          <w:b/>
          <w:sz w:val="20"/>
          <w:szCs w:val="20"/>
        </w:rPr>
      </w:pPr>
      <w:r w:rsidRPr="00924D64">
        <w:rPr>
          <w:rFonts w:ascii="Arial" w:eastAsia="Arial" w:hAnsi="Arial" w:cs="Arial"/>
          <w:b/>
          <w:sz w:val="20"/>
          <w:szCs w:val="20"/>
        </w:rPr>
        <w:t>Eje 3 — Reactivación Económica</w:t>
      </w:r>
    </w:p>
    <w:p w14:paraId="5220DBC5"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Agenda Minera Regional: Mesa público-privada con CORMINCO, Minera Los Pelambres y actores del sector para destrabar proyectos de inversión y generar encadenamiento productivo local. </w:t>
      </w:r>
    </w:p>
    <w:p w14:paraId="519C03D6"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Reducción de trabas a inversión: Levantamiento de expedientes paralizados en SAG, CONAF, SMA y otros servicios; gestión para agilización de permisos sectoriales. </w:t>
      </w:r>
    </w:p>
    <w:p w14:paraId="694BF877"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Plan de Reactivación Agropecuaria: Coordinación INDAP–CORFO–MINAGRI para apoyo a pequeños agricultores afectados por sequía; riego tecnificado y seguros agrícolas.</w:t>
      </w:r>
    </w:p>
    <w:p w14:paraId="2287D143"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lastRenderedPageBreak/>
        <w:t xml:space="preserve">Astroturismo y turismo de naturaleza: Programa CORFO de competitividad turística con énfasis en astroturismo y diversificación de oferta para mercados nacionales e internacionales. </w:t>
      </w:r>
    </w:p>
    <w:p w14:paraId="4F73BD9F"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Emprendimiento y Pyme: Campaña regional de acceso a instrumentos SERCOTEC y CORFO; ferias y talleres en las tres provincias. </w:t>
      </w:r>
    </w:p>
    <w:p w14:paraId="263E6524" w14:textId="77777777" w:rsidR="003406B3" w:rsidRPr="008F3466" w:rsidRDefault="003406B3" w:rsidP="00744FB6">
      <w:pPr>
        <w:pStyle w:val="Prrafodelista"/>
        <w:numPr>
          <w:ilvl w:val="0"/>
          <w:numId w:val="12"/>
        </w:numPr>
        <w:spacing w:line="276" w:lineRule="auto"/>
        <w:jc w:val="both"/>
        <w:rPr>
          <w:rFonts w:ascii="Arial" w:eastAsia="Arial" w:hAnsi="Arial" w:cs="Arial"/>
          <w:sz w:val="20"/>
          <w:szCs w:val="20"/>
        </w:rPr>
      </w:pPr>
      <w:r w:rsidRPr="008F3466">
        <w:rPr>
          <w:rFonts w:ascii="Arial" w:eastAsia="Arial" w:hAnsi="Arial" w:cs="Arial"/>
          <w:sz w:val="20"/>
          <w:szCs w:val="20"/>
        </w:rPr>
        <w:t xml:space="preserve">Conectividad productiva: Coordinación con MOP y MTT para intervenciones en rutas críticas que articulan minería, agricultura y puertos. </w:t>
      </w:r>
    </w:p>
    <w:p w14:paraId="69657879" w14:textId="5509B1FA" w:rsidR="00917384" w:rsidRPr="00524785" w:rsidRDefault="00917384" w:rsidP="00744FB6">
      <w:pPr>
        <w:pStyle w:val="Prrafodelista"/>
        <w:spacing w:line="276" w:lineRule="auto"/>
        <w:jc w:val="both"/>
        <w:rPr>
          <w:rFonts w:ascii="Arial" w:eastAsia="Arial" w:hAnsi="Arial" w:cs="Arial"/>
          <w:bCs/>
          <w:color w:val="0E2841" w:themeColor="text2"/>
          <w:sz w:val="20"/>
          <w:szCs w:val="20"/>
        </w:rPr>
      </w:pPr>
    </w:p>
    <w:p w14:paraId="6A45A8A3" w14:textId="1F060644" w:rsidR="006B4C46" w:rsidRPr="00524785" w:rsidRDefault="006B4C46" w:rsidP="00744FB6">
      <w:pPr>
        <w:pStyle w:val="Prrafodelista"/>
        <w:numPr>
          <w:ilvl w:val="0"/>
          <w:numId w:val="13"/>
        </w:numPr>
        <w:spacing w:line="276" w:lineRule="auto"/>
        <w:jc w:val="both"/>
        <w:rPr>
          <w:rFonts w:ascii="Arial" w:eastAsia="Arial" w:hAnsi="Arial" w:cs="Arial"/>
          <w:b/>
          <w:color w:val="0E2841" w:themeColor="text2"/>
          <w:sz w:val="20"/>
          <w:szCs w:val="20"/>
        </w:rPr>
      </w:pPr>
      <w:r w:rsidRPr="00524785">
        <w:rPr>
          <w:rFonts w:ascii="Arial" w:eastAsia="Arial" w:hAnsi="Arial" w:cs="Arial"/>
          <w:b/>
          <w:color w:val="0E2841" w:themeColor="text2"/>
          <w:sz w:val="20"/>
          <w:szCs w:val="20"/>
        </w:rPr>
        <w:t>Programación 2026-2030</w:t>
      </w:r>
    </w:p>
    <w:p w14:paraId="0D636217" w14:textId="77777777" w:rsidR="006B4C46" w:rsidRPr="008F3466" w:rsidRDefault="006B4C46" w:rsidP="00B868C3">
      <w:pPr>
        <w:spacing w:line="276" w:lineRule="auto"/>
        <w:ind w:firstLine="360"/>
        <w:jc w:val="both"/>
        <w:rPr>
          <w:rFonts w:ascii="Arial" w:eastAsia="Arial" w:hAnsi="Arial" w:cs="Arial"/>
          <w:sz w:val="20"/>
          <w:szCs w:val="20"/>
        </w:rPr>
      </w:pPr>
      <w:r w:rsidRPr="008F3466">
        <w:rPr>
          <w:rFonts w:ascii="Arial" w:eastAsia="Arial" w:hAnsi="Arial" w:cs="Arial"/>
          <w:sz w:val="20"/>
          <w:szCs w:val="20"/>
        </w:rPr>
        <w:t>El legado esperado de la Delegación Presidencial Regional de Coquimbo al término del período gubernamental se define en torno a tres resultados estructurales, en coherencia con el Programa de Gobierno 2026–2030.</w:t>
      </w:r>
    </w:p>
    <w:p w14:paraId="38B6BCE9" w14:textId="77777777" w:rsidR="006B4C46" w:rsidRPr="008F3466" w:rsidRDefault="006B4C46" w:rsidP="00744FB6">
      <w:pPr>
        <w:spacing w:line="276" w:lineRule="auto"/>
        <w:jc w:val="both"/>
        <w:rPr>
          <w:rFonts w:ascii="Arial" w:eastAsia="Arial" w:hAnsi="Arial" w:cs="Arial"/>
          <w:sz w:val="20"/>
          <w:szCs w:val="20"/>
        </w:rPr>
      </w:pPr>
    </w:p>
    <w:p w14:paraId="3DE8B590" w14:textId="77777777"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1 — Seguridad y Crimen Organizado: Región con orden y control territorial recuperado</w:t>
      </w:r>
    </w:p>
    <w:p w14:paraId="75740D58"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 xml:space="preserve">Consejo Regional contra el Crimen Organizado consolidado como instancia permanente de coordinación entre Carabineros, PDI, </w:t>
      </w:r>
      <w:proofErr w:type="gramStart"/>
      <w:r w:rsidRPr="00E937C5">
        <w:rPr>
          <w:rFonts w:ascii="Arial" w:eastAsia="Arial" w:hAnsi="Arial" w:cs="Arial"/>
          <w:sz w:val="20"/>
          <w:szCs w:val="20"/>
        </w:rPr>
        <w:t>Fiscalía Regional</w:t>
      </w:r>
      <w:proofErr w:type="gramEnd"/>
      <w:r w:rsidRPr="00E937C5">
        <w:rPr>
          <w:rFonts w:ascii="Arial" w:eastAsia="Arial" w:hAnsi="Arial" w:cs="Arial"/>
          <w:sz w:val="20"/>
          <w:szCs w:val="20"/>
        </w:rPr>
        <w:t>, SEREMI de Seguridad Pública y municipios.</w:t>
      </w:r>
    </w:p>
    <w:p w14:paraId="442C266E"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 xml:space="preserve">Crimen organizado y </w:t>
      </w:r>
      <w:proofErr w:type="spellStart"/>
      <w:r w:rsidRPr="00E937C5">
        <w:rPr>
          <w:rFonts w:ascii="Arial" w:eastAsia="Arial" w:hAnsi="Arial" w:cs="Arial"/>
          <w:sz w:val="20"/>
          <w:szCs w:val="20"/>
        </w:rPr>
        <w:t>narcocultivo</w:t>
      </w:r>
      <w:proofErr w:type="spellEnd"/>
      <w:r w:rsidRPr="00E937C5">
        <w:rPr>
          <w:rFonts w:ascii="Arial" w:eastAsia="Arial" w:hAnsi="Arial" w:cs="Arial"/>
          <w:sz w:val="20"/>
          <w:szCs w:val="20"/>
        </w:rPr>
        <w:t xml:space="preserve"> contenidos en Limarí y Choapa, con la Sección O.S.9 y el OS-7 plenamente desplegados en el territorio.</w:t>
      </w:r>
    </w:p>
    <w:p w14:paraId="0806F37C"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Cobertura policial y de justicia cerrada en las 15 comunas, con la nueva cartera de comisarías, retenes, fiscalías, juzgados y cuarteles de Bomberos entregada.</w:t>
      </w:r>
    </w:p>
    <w:p w14:paraId="644DFC6B" w14:textId="7EC5DEF2"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Nuevo Centro de Entrenamiento de Carabineros construido y operativo.</w:t>
      </w:r>
    </w:p>
    <w:p w14:paraId="1ED98CC2" w14:textId="560ABE51"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2 — Conectividad e Infraestructura Estratégica: Región sin comunas aisladas</w:t>
      </w:r>
    </w:p>
    <w:p w14:paraId="1AF9B9EF"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Ruta 41-CH pavimentada hasta el Paso Agua Negra, dejando resuelta la condición habilitante del Corredor Bioceánico Central Coquimbo–Porto Alegre.</w:t>
      </w:r>
    </w:p>
    <w:p w14:paraId="795EB5ED"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Comunas de cordillera y costa (Río Hurtado, Canela, Salamanca, Punitaqui) con estándar vial mejorado, superando el actual 35,8% de pavimentación regional.</w:t>
      </w:r>
    </w:p>
    <w:p w14:paraId="41763677"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Circunvalación La Serena–Coquimbo y Doble vía D-41 La Serena–Vicuña entregadas, resolviendo la congestión estructural de la conurbación.</w:t>
      </w:r>
    </w:p>
    <w:p w14:paraId="6F144653"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Fibra óptica y cobertura digital extendidas a la totalidad de las cabeceras comunales pendientes.</w:t>
      </w:r>
    </w:p>
    <w:p w14:paraId="77DAC8D9"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Infraestructura vial y de puentes destruida por el sistema frontal de julio 2026 completamente repuesta.</w:t>
      </w:r>
    </w:p>
    <w:p w14:paraId="1F581FD9" w14:textId="69200EE9"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3 — Agua, Medio Ambiente y Adaptación Climática: Seguridad hídrica garantizada para la región</w:t>
      </w:r>
    </w:p>
    <w:p w14:paraId="1C4676C0"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Desaladora El Panul en operación, abasteciendo de forma estructural a más de 540 mil habitantes de La Serena y Coquimbo.</w:t>
      </w:r>
    </w:p>
    <w:p w14:paraId="7D735925"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Camiones aljibe eliminados como solución permanente en las más de 40 localidades rurales hoy dependientes, con los sistemas sanitarios rurales modernizados.</w:t>
      </w:r>
    </w:p>
    <w:p w14:paraId="24357B20"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Rubro caprino y Comunidades Agrícolas protegidos frente a la desertificación, con el Plan Caprino y el apoyo a los más de 4.000 crianceros consolidados.</w:t>
      </w:r>
    </w:p>
    <w:p w14:paraId="1DFA0091" w14:textId="77777777" w:rsid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Al menos un proyecto de recarga artificial de acuíferos implementado y en monitoreo en las cuencas del Limarí y Choapa.</w:t>
      </w:r>
    </w:p>
    <w:p w14:paraId="488125AC" w14:textId="7405CF98"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Totalidad de los sistemas sanitarios rurales dañados por el sistema frontal de julio 2026 repuestos.</w:t>
      </w:r>
    </w:p>
    <w:p w14:paraId="1D8F21FF" w14:textId="23C2FC62"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4 — Desarrollo Económico, Minería y Astroturismo: Motor de inversión y empleo regional</w:t>
      </w:r>
    </w:p>
    <w:p w14:paraId="17180204"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lastRenderedPageBreak/>
        <w:t xml:space="preserve">Cartera de inversión minera destrabada y en ejecución, con permisos sectoriales resueltos en línea con la agenda </w:t>
      </w:r>
      <w:proofErr w:type="spellStart"/>
      <w:r w:rsidRPr="00E937C5">
        <w:rPr>
          <w:rFonts w:ascii="Arial" w:eastAsia="Arial" w:hAnsi="Arial" w:cs="Arial"/>
          <w:sz w:val="20"/>
          <w:szCs w:val="20"/>
        </w:rPr>
        <w:t>pro-inversión</w:t>
      </w:r>
      <w:proofErr w:type="spellEnd"/>
      <w:r w:rsidRPr="00E937C5">
        <w:rPr>
          <w:rFonts w:ascii="Arial" w:eastAsia="Arial" w:hAnsi="Arial" w:cs="Arial"/>
          <w:sz w:val="20"/>
          <w:szCs w:val="20"/>
        </w:rPr>
        <w:t xml:space="preserve"> nacional.</w:t>
      </w:r>
    </w:p>
    <w:p w14:paraId="0F1206C8"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 xml:space="preserve">Parque Científico Tecnológico regional materializado, posicionando a Coquimbo como nodo mundial de astroturismo en torno al Observatorio Vera C. </w:t>
      </w:r>
      <w:proofErr w:type="spellStart"/>
      <w:r w:rsidRPr="00E937C5">
        <w:rPr>
          <w:rFonts w:ascii="Arial" w:eastAsia="Arial" w:hAnsi="Arial" w:cs="Arial"/>
          <w:sz w:val="20"/>
          <w:szCs w:val="20"/>
        </w:rPr>
        <w:t>Rubin</w:t>
      </w:r>
      <w:proofErr w:type="spellEnd"/>
      <w:r w:rsidRPr="00E937C5">
        <w:rPr>
          <w:rFonts w:ascii="Arial" w:eastAsia="Arial" w:hAnsi="Arial" w:cs="Arial"/>
          <w:sz w:val="20"/>
          <w:szCs w:val="20"/>
        </w:rPr>
        <w:t>.</w:t>
      </w:r>
    </w:p>
    <w:p w14:paraId="419AEA64"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Agricultura de exportación y producción pisquera reconvertidas hacia mayor valor y eficiencia hídrica.</w:t>
      </w:r>
    </w:p>
    <w:p w14:paraId="6F1EDFF5"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Mercado del Mar de Coquimbo entregado y Plan de Mitigación de la Crisis de Pesca Artesanal consolidado como respuesta estructural del sector.</w:t>
      </w:r>
    </w:p>
    <w:p w14:paraId="0E82ADD9"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Sectores productivos golpeados por el sistema frontal de julio 2026 —industria pisquera de Vicuña, ganadería caprina, caletas costeras— plenamente reactivados.</w:t>
      </w:r>
    </w:p>
    <w:p w14:paraId="46540A6A" w14:textId="09ECE2A5"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5 — Salud, Educación y Vivienda: Servicios públicos de calidad y brechas territoriales cerradas</w:t>
      </w:r>
    </w:p>
    <w:p w14:paraId="21206145"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Los tres hospitales de La Serena, Coquimbo e Illapel entregados y operativos, consolidando la mayor cartera hospitalaria simultánea del país.</w:t>
      </w:r>
    </w:p>
    <w:p w14:paraId="724068F5"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Listas de espera reducidas sustancialmente en Ovalle, Illapel y Salamanca, con la Estrategia RELE y el Hospital Digital plenamente desplegados.</w:t>
      </w:r>
    </w:p>
    <w:p w14:paraId="2C07777D"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Los cuatro Servicios Locales de Educación Pública operativos, cubriendo la totalidad de las 15 comunas de la región.</w:t>
      </w:r>
    </w:p>
    <w:p w14:paraId="357FD33F"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Los 52 campamentos vigentes con solución habitacional definitiva bajo la nueva política 2026, con prioridad en la Provincia del Choapa.</w:t>
      </w:r>
    </w:p>
    <w:p w14:paraId="03D7F3C1" w14:textId="450963AD" w:rsidR="00E937C5" w:rsidRPr="00E937C5" w:rsidRDefault="00E937C5" w:rsidP="00E937C5">
      <w:pPr>
        <w:pStyle w:val="Prrafodelista"/>
        <w:numPr>
          <w:ilvl w:val="2"/>
          <w:numId w:val="13"/>
        </w:numPr>
        <w:spacing w:line="276" w:lineRule="auto"/>
        <w:ind w:left="567"/>
        <w:jc w:val="both"/>
        <w:rPr>
          <w:rFonts w:ascii="Arial" w:eastAsia="Arial" w:hAnsi="Arial" w:cs="Arial"/>
          <w:b/>
          <w:sz w:val="20"/>
          <w:szCs w:val="20"/>
        </w:rPr>
      </w:pPr>
      <w:r w:rsidRPr="00E937C5">
        <w:rPr>
          <w:rFonts w:ascii="Arial" w:eastAsia="Arial" w:hAnsi="Arial" w:cs="Arial"/>
          <w:b/>
          <w:bCs/>
          <w:sz w:val="20"/>
          <w:szCs w:val="20"/>
        </w:rPr>
        <w:t>Eje 6 — Emergencia y Reconstrucción (Sistema Frontal Julio 2026): Región reconstruida y con mayor resiliencia</w:t>
      </w:r>
    </w:p>
    <w:p w14:paraId="0EAEDAC1"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Los nueve puentes caídos y los 104 caminos regionales cortados, completamente repuestos.</w:t>
      </w:r>
    </w:p>
    <w:p w14:paraId="650AD4F5"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Sistemas sanitarios rurales y captación de agua potable urbana dañados, reconstruidos en su totalidad.</w:t>
      </w:r>
    </w:p>
    <w:p w14:paraId="6B98B9B5"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Las 1.525 viviendas destruidas por la emergencia, reconstruidas, con prioridad en Combarbalá y La Serena.</w:t>
      </w:r>
    </w:p>
    <w:p w14:paraId="5D193483" w14:textId="77777777" w:rsidR="00E937C5" w:rsidRPr="00E937C5" w:rsidRDefault="00E937C5" w:rsidP="00E937C5">
      <w:pPr>
        <w:pStyle w:val="Prrafodelista"/>
        <w:numPr>
          <w:ilvl w:val="0"/>
          <w:numId w:val="12"/>
        </w:numPr>
        <w:spacing w:line="276" w:lineRule="auto"/>
        <w:jc w:val="both"/>
        <w:rPr>
          <w:rFonts w:ascii="Arial" w:eastAsia="Arial" w:hAnsi="Arial" w:cs="Arial"/>
          <w:sz w:val="20"/>
          <w:szCs w:val="20"/>
        </w:rPr>
      </w:pPr>
      <w:r w:rsidRPr="00E937C5">
        <w:rPr>
          <w:rFonts w:ascii="Arial" w:eastAsia="Arial" w:hAnsi="Arial" w:cs="Arial"/>
          <w:sz w:val="20"/>
          <w:szCs w:val="20"/>
        </w:rPr>
        <w:t>Región con gestión de riesgo de desastres fortalecida: catastro territorial actualizado y conectividad satelital de emergencia evaluada en las comunas de mayor aislamiento</w:t>
      </w:r>
    </w:p>
    <w:p w14:paraId="77B952AA" w14:textId="77777777" w:rsidR="009A53F8" w:rsidRPr="00E937C5" w:rsidRDefault="009A53F8" w:rsidP="00E937C5">
      <w:pPr>
        <w:spacing w:line="276" w:lineRule="auto"/>
        <w:jc w:val="both"/>
        <w:rPr>
          <w:rFonts w:ascii="Arial" w:hAnsi="Arial" w:cs="Arial"/>
          <w:sz w:val="20"/>
          <w:szCs w:val="20"/>
        </w:rPr>
      </w:pPr>
    </w:p>
    <w:sectPr w:rsidR="009A53F8" w:rsidRPr="00E937C5" w:rsidSect="005D4FAF">
      <w:headerReference w:type="default" r:id="rId9"/>
      <w:footerReference w:type="default" r:id="rId10"/>
      <w:type w:val="continuous"/>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6DB81" w14:textId="77777777" w:rsidR="00911462" w:rsidRPr="00F1725D" w:rsidRDefault="00911462" w:rsidP="00BF22A1">
      <w:r w:rsidRPr="00F1725D">
        <w:separator/>
      </w:r>
    </w:p>
  </w:endnote>
  <w:endnote w:type="continuationSeparator" w:id="0">
    <w:p w14:paraId="0DF20977" w14:textId="77777777" w:rsidR="00911462" w:rsidRPr="00F1725D" w:rsidRDefault="00911462" w:rsidP="00BF22A1">
      <w:r w:rsidRPr="00F172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008982"/>
      <w:docPartObj>
        <w:docPartGallery w:val="Page Numbers (Bottom of Page)"/>
        <w:docPartUnique/>
      </w:docPartObj>
    </w:sdtPr>
    <w:sdtEndPr/>
    <w:sdtContent>
      <w:p w14:paraId="26E33850" w14:textId="7B51FD28" w:rsidR="00AD4960" w:rsidRDefault="00AD4960">
        <w:pPr>
          <w:pStyle w:val="Piedepgina"/>
          <w:jc w:val="center"/>
        </w:pPr>
        <w:r>
          <w:fldChar w:fldCharType="begin"/>
        </w:r>
        <w:r>
          <w:instrText>PAGE   \* MERGEFORMAT</w:instrText>
        </w:r>
        <w:r>
          <w:fldChar w:fldCharType="separate"/>
        </w:r>
        <w:r w:rsidR="00E937C5" w:rsidRPr="00E937C5">
          <w:rPr>
            <w:noProof/>
            <w:lang w:val="es-ES"/>
          </w:rPr>
          <w:t>28</w:t>
        </w:r>
        <w:r>
          <w:fldChar w:fldCharType="end"/>
        </w:r>
      </w:p>
    </w:sdtContent>
  </w:sdt>
  <w:p w14:paraId="0E596B73" w14:textId="77777777" w:rsidR="00AD4960" w:rsidRDefault="00AD49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DCAC" w14:textId="77777777" w:rsidR="00911462" w:rsidRPr="00F1725D" w:rsidRDefault="00911462" w:rsidP="00BF22A1">
      <w:r w:rsidRPr="00F1725D">
        <w:separator/>
      </w:r>
    </w:p>
  </w:footnote>
  <w:footnote w:type="continuationSeparator" w:id="0">
    <w:p w14:paraId="25B8971A" w14:textId="77777777" w:rsidR="00911462" w:rsidRPr="00F1725D" w:rsidRDefault="00911462" w:rsidP="00BF22A1">
      <w:r w:rsidRPr="00F172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194C" w14:textId="4E4E74A7" w:rsidR="005D4FAF" w:rsidRDefault="007A3B12">
    <w:pPr>
      <w:pStyle w:val="Encabezado"/>
    </w:pPr>
    <w:r>
      <w:rPr>
        <w:noProof/>
        <w14:ligatures w14:val="standardContextual"/>
      </w:rPr>
      <w:drawing>
        <wp:anchor distT="0" distB="0" distL="114300" distR="114300" simplePos="0" relativeHeight="251659264" behindDoc="1" locked="0" layoutInCell="1" allowOverlap="1" wp14:anchorId="32DE1B83" wp14:editId="29F212CE">
          <wp:simplePos x="0" y="0"/>
          <wp:positionH relativeFrom="column">
            <wp:posOffset>4805399</wp:posOffset>
          </wp:positionH>
          <wp:positionV relativeFrom="paragraph">
            <wp:posOffset>-16092</wp:posOffset>
          </wp:positionV>
          <wp:extent cx="1244278" cy="232358"/>
          <wp:effectExtent l="0" t="0" r="0" b="0"/>
          <wp:wrapNone/>
          <wp:docPr id="6187830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83034" name="Imagen 618783034"/>
                  <pic:cNvPicPr/>
                </pic:nvPicPr>
                <pic:blipFill>
                  <a:blip r:embed="rId1">
                    <a:extLst>
                      <a:ext uri="{28A0092B-C50C-407E-A947-70E740481C1C}">
                        <a14:useLocalDpi xmlns:a14="http://schemas.microsoft.com/office/drawing/2010/main" val="0"/>
                      </a:ext>
                    </a:extLst>
                  </a:blip>
                  <a:stretch>
                    <a:fillRect/>
                  </a:stretch>
                </pic:blipFill>
                <pic:spPr>
                  <a:xfrm>
                    <a:off x="0" y="0"/>
                    <a:ext cx="1244278" cy="232358"/>
                  </a:xfrm>
                  <a:prstGeom prst="rect">
                    <a:avLst/>
                  </a:prstGeom>
                </pic:spPr>
              </pic:pic>
            </a:graphicData>
          </a:graphic>
        </wp:anchor>
      </w:drawing>
    </w:r>
    <w:r>
      <w:rPr>
        <w:noProof/>
        <w14:ligatures w14:val="standardContextual"/>
      </w:rPr>
      <w:drawing>
        <wp:anchor distT="0" distB="0" distL="114300" distR="114300" simplePos="0" relativeHeight="251658240" behindDoc="1" locked="0" layoutInCell="1" allowOverlap="1" wp14:anchorId="61EC36FB" wp14:editId="6EFF5B80">
          <wp:simplePos x="0" y="0"/>
          <wp:positionH relativeFrom="margin">
            <wp:posOffset>-515074</wp:posOffset>
          </wp:positionH>
          <wp:positionV relativeFrom="paragraph">
            <wp:posOffset>-176160</wp:posOffset>
          </wp:positionV>
          <wp:extent cx="1070658" cy="466520"/>
          <wp:effectExtent l="0" t="0" r="0" b="0"/>
          <wp:wrapNone/>
          <wp:docPr id="2144672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72823" name="Imagen 2144672823"/>
                  <pic:cNvPicPr/>
                </pic:nvPicPr>
                <pic:blipFill>
                  <a:blip r:embed="rId2">
                    <a:extLst>
                      <a:ext uri="{28A0092B-C50C-407E-A947-70E740481C1C}">
                        <a14:useLocalDpi xmlns:a14="http://schemas.microsoft.com/office/drawing/2010/main" val="0"/>
                      </a:ext>
                    </a:extLst>
                  </a:blip>
                  <a:stretch>
                    <a:fillRect/>
                  </a:stretch>
                </pic:blipFill>
                <pic:spPr>
                  <a:xfrm>
                    <a:off x="0" y="0"/>
                    <a:ext cx="1070658" cy="466520"/>
                  </a:xfrm>
                  <a:prstGeom prst="rect">
                    <a:avLst/>
                  </a:prstGeom>
                </pic:spPr>
              </pic:pic>
            </a:graphicData>
          </a:graphic>
          <wp14:sizeRelH relativeFrom="margin">
            <wp14:pctWidth>0</wp14:pctWidth>
          </wp14:sizeRelH>
          <wp14:sizeRelV relativeFrom="margin">
            <wp14:pctHeight>0</wp14:pctHeight>
          </wp14:sizeRelV>
        </wp:anchor>
      </w:drawing>
    </w:r>
  </w:p>
  <w:p w14:paraId="55BB42A2" w14:textId="6F02AA2B" w:rsidR="00FD70F9" w:rsidRPr="00F1725D" w:rsidRDefault="00FD70F9">
    <w:pPr>
      <w:pStyle w:val="Textoindependiente"/>
      <w:spacing w:line="14" w:lineRule="auto"/>
      <w:rPr>
        <w:sz w:val="20"/>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27"/>
        </w:tabs>
        <w:ind w:left="127"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5CF7AB3"/>
    <w:multiLevelType w:val="hybridMultilevel"/>
    <w:tmpl w:val="748A3D40"/>
    <w:lvl w:ilvl="0" w:tplc="2C3C7696">
      <w:start w:val="1"/>
      <w:numFmt w:val="decimal"/>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B683F06"/>
    <w:multiLevelType w:val="hybridMultilevel"/>
    <w:tmpl w:val="235276E6"/>
    <w:lvl w:ilvl="0" w:tplc="34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957A83"/>
    <w:multiLevelType w:val="hybridMultilevel"/>
    <w:tmpl w:val="F4B44A74"/>
    <w:lvl w:ilvl="0" w:tplc="B7060190">
      <w:start w:val="1"/>
      <w:numFmt w:val="decimal"/>
      <w:suff w:val="nothing"/>
      <w:lvlText w:val="%1."/>
      <w:lvlJc w:val="left"/>
      <w:pPr>
        <w:ind w:left="40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19F23B2"/>
    <w:multiLevelType w:val="hybridMultilevel"/>
    <w:tmpl w:val="410CC85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130E3EF0"/>
    <w:multiLevelType w:val="hybridMultilevel"/>
    <w:tmpl w:val="739492E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139441B"/>
    <w:multiLevelType w:val="multilevel"/>
    <w:tmpl w:val="5EAC64D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39786A31"/>
    <w:multiLevelType w:val="hybridMultilevel"/>
    <w:tmpl w:val="A0623A9C"/>
    <w:lvl w:ilvl="0" w:tplc="BA18D20C">
      <w:start w:val="1"/>
      <w:numFmt w:val="decimal"/>
      <w:lvlText w:val="%1."/>
      <w:lvlJc w:val="left"/>
      <w:pPr>
        <w:ind w:left="400" w:hanging="360"/>
      </w:pPr>
      <w:rPr>
        <w:rFonts w:hint="default"/>
      </w:rPr>
    </w:lvl>
    <w:lvl w:ilvl="1" w:tplc="340A0019" w:tentative="1">
      <w:start w:val="1"/>
      <w:numFmt w:val="lowerLetter"/>
      <w:lvlText w:val="%2."/>
      <w:lvlJc w:val="left"/>
      <w:pPr>
        <w:ind w:left="1120" w:hanging="360"/>
      </w:pPr>
    </w:lvl>
    <w:lvl w:ilvl="2" w:tplc="340A001B" w:tentative="1">
      <w:start w:val="1"/>
      <w:numFmt w:val="lowerRoman"/>
      <w:lvlText w:val="%3."/>
      <w:lvlJc w:val="right"/>
      <w:pPr>
        <w:ind w:left="1840" w:hanging="180"/>
      </w:pPr>
    </w:lvl>
    <w:lvl w:ilvl="3" w:tplc="340A000F" w:tentative="1">
      <w:start w:val="1"/>
      <w:numFmt w:val="decimal"/>
      <w:lvlText w:val="%4."/>
      <w:lvlJc w:val="left"/>
      <w:pPr>
        <w:ind w:left="2560" w:hanging="360"/>
      </w:pPr>
    </w:lvl>
    <w:lvl w:ilvl="4" w:tplc="340A0019" w:tentative="1">
      <w:start w:val="1"/>
      <w:numFmt w:val="lowerLetter"/>
      <w:lvlText w:val="%5."/>
      <w:lvlJc w:val="left"/>
      <w:pPr>
        <w:ind w:left="3280" w:hanging="360"/>
      </w:pPr>
    </w:lvl>
    <w:lvl w:ilvl="5" w:tplc="340A001B" w:tentative="1">
      <w:start w:val="1"/>
      <w:numFmt w:val="lowerRoman"/>
      <w:lvlText w:val="%6."/>
      <w:lvlJc w:val="right"/>
      <w:pPr>
        <w:ind w:left="4000" w:hanging="180"/>
      </w:pPr>
    </w:lvl>
    <w:lvl w:ilvl="6" w:tplc="340A000F" w:tentative="1">
      <w:start w:val="1"/>
      <w:numFmt w:val="decimal"/>
      <w:lvlText w:val="%7."/>
      <w:lvlJc w:val="left"/>
      <w:pPr>
        <w:ind w:left="4720" w:hanging="360"/>
      </w:pPr>
    </w:lvl>
    <w:lvl w:ilvl="7" w:tplc="340A0019" w:tentative="1">
      <w:start w:val="1"/>
      <w:numFmt w:val="lowerLetter"/>
      <w:lvlText w:val="%8."/>
      <w:lvlJc w:val="left"/>
      <w:pPr>
        <w:ind w:left="5440" w:hanging="360"/>
      </w:pPr>
    </w:lvl>
    <w:lvl w:ilvl="8" w:tplc="340A001B" w:tentative="1">
      <w:start w:val="1"/>
      <w:numFmt w:val="lowerRoman"/>
      <w:lvlText w:val="%9."/>
      <w:lvlJc w:val="right"/>
      <w:pPr>
        <w:ind w:left="6160" w:hanging="180"/>
      </w:pPr>
    </w:lvl>
  </w:abstractNum>
  <w:abstractNum w:abstractNumId="13" w15:restartNumberingAfterBreak="0">
    <w:nsid w:val="436822EF"/>
    <w:multiLevelType w:val="multilevel"/>
    <w:tmpl w:val="E606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E0FF6"/>
    <w:multiLevelType w:val="multilevel"/>
    <w:tmpl w:val="72A00210"/>
    <w:lvl w:ilvl="0">
      <w:start w:val="1"/>
      <w:numFmt w:val="bullet"/>
      <w:lvlText w:val="o"/>
      <w:lvlJc w:val="left"/>
      <w:pPr>
        <w:tabs>
          <w:tab w:val="num" w:pos="720"/>
        </w:tabs>
        <w:ind w:left="720" w:hanging="360"/>
      </w:pPr>
      <w:rPr>
        <w:rFonts w:ascii="Courier New" w:hAnsi="Courier New" w:cs="Courier New" w:hint="default"/>
        <w:sz w:val="20"/>
      </w:rPr>
    </w:lvl>
    <w:lvl w:ilvl="1">
      <w:start w:val="2"/>
      <w:numFmt w:val="upperLetter"/>
      <w:lvlText w:val="%2)"/>
      <w:lvlJc w:val="left"/>
      <w:pPr>
        <w:ind w:left="1440" w:hanging="360"/>
      </w:pPr>
      <w:rPr>
        <w:rFonts w:hint="default"/>
      </w:rPr>
    </w:lvl>
    <w:lvl w:ilvl="2">
      <w:start w:val="3"/>
      <w:numFmt w:val="lowerLetter"/>
      <w:lvlText w:val="%3)"/>
      <w:lvlJc w:val="left"/>
      <w:pPr>
        <w:ind w:left="2160" w:hanging="360"/>
      </w:pPr>
      <w:rPr>
        <w:rFonts w:hint="default"/>
      </w:rPr>
    </w:lvl>
    <w:lvl w:ilvl="3">
      <w:start w:val="8"/>
      <w:numFmt w:val="decimal"/>
      <w:lvlText w:val="%4."/>
      <w:lvlJc w:val="left"/>
      <w:pPr>
        <w:ind w:left="2880" w:hanging="360"/>
      </w:pPr>
      <w:rPr>
        <w:rFonts w:hint="default"/>
      </w:rPr>
    </w:lvl>
    <w:lvl w:ilvl="4">
      <w:start w:val="1"/>
      <w:numFmt w:val="lowerLetter"/>
      <w:lvlText w:val="%5."/>
      <w:lvlJc w:val="left"/>
      <w:pPr>
        <w:ind w:left="3600" w:hanging="360"/>
      </w:pPr>
      <w:rPr>
        <w:rFonts w:hint="default"/>
        <w:u w:val="none"/>
      </w:rPr>
    </w:lvl>
    <w:lvl w:ilvl="5">
      <w:start w:val="1"/>
      <w:numFmt w:val="upperRoman"/>
      <w:lvlText w:val="%6."/>
      <w:lvlJc w:val="right"/>
      <w:pPr>
        <w:tabs>
          <w:tab w:val="num" w:pos="4320"/>
        </w:tabs>
        <w:ind w:left="4320" w:hanging="360"/>
      </w:pPr>
      <w:rPr>
        <w:rFont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lowerRoman"/>
      <w:lvlText w:val="%8-"/>
      <w:lvlJc w:val="left"/>
      <w:pPr>
        <w:ind w:left="6120" w:hanging="720"/>
      </w:pPr>
      <w:rPr>
        <w:rFonts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F6537"/>
    <w:multiLevelType w:val="multilevel"/>
    <w:tmpl w:val="53C8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085C1E"/>
    <w:multiLevelType w:val="hybridMultilevel"/>
    <w:tmpl w:val="971CBA50"/>
    <w:lvl w:ilvl="0" w:tplc="8AFEA828">
      <w:start w:val="323"/>
      <w:numFmt w:val="bullet"/>
      <w:lvlText w:val="•"/>
      <w:lvlJc w:val="left"/>
      <w:pPr>
        <w:ind w:left="720" w:hanging="360"/>
      </w:pPr>
      <w:rPr>
        <w:rFonts w:ascii="Arial" w:eastAsia="Arial"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5AF81A0E"/>
    <w:multiLevelType w:val="hybridMultilevel"/>
    <w:tmpl w:val="21202EB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61BF18BB"/>
    <w:multiLevelType w:val="multilevel"/>
    <w:tmpl w:val="FBC6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D44C1"/>
    <w:multiLevelType w:val="multilevel"/>
    <w:tmpl w:val="BEAC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B4450F"/>
    <w:multiLevelType w:val="hybridMultilevel"/>
    <w:tmpl w:val="886AF35C"/>
    <w:lvl w:ilvl="0" w:tplc="34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E9B0B10"/>
    <w:multiLevelType w:val="multilevel"/>
    <w:tmpl w:val="9E1073D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607C54"/>
    <w:multiLevelType w:val="hybridMultilevel"/>
    <w:tmpl w:val="848EC5CE"/>
    <w:lvl w:ilvl="0" w:tplc="EE9EA152">
      <w:start w:val="1"/>
      <w:numFmt w:val="upperRoman"/>
      <w:lvlText w:val="%1."/>
      <w:lvlJc w:val="left"/>
      <w:pPr>
        <w:ind w:left="720" w:hanging="360"/>
      </w:pPr>
      <w:rPr>
        <w:rFonts w:hint="default"/>
        <w:b/>
        <w:bCs w:val="0"/>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8AC31AF"/>
    <w:multiLevelType w:val="multilevel"/>
    <w:tmpl w:val="8E1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A34190"/>
    <w:multiLevelType w:val="multilevel"/>
    <w:tmpl w:val="0B7A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6886604">
    <w:abstractNumId w:val="14"/>
  </w:num>
  <w:num w:numId="2" w16cid:durableId="1568414502">
    <w:abstractNumId w:val="20"/>
  </w:num>
  <w:num w:numId="3" w16cid:durableId="1158771362">
    <w:abstractNumId w:val="7"/>
  </w:num>
  <w:num w:numId="4" w16cid:durableId="218714800">
    <w:abstractNumId w:val="21"/>
  </w:num>
  <w:num w:numId="5" w16cid:durableId="1159808020">
    <w:abstractNumId w:val="6"/>
  </w:num>
  <w:num w:numId="6" w16cid:durableId="1215584342">
    <w:abstractNumId w:val="5"/>
  </w:num>
  <w:num w:numId="7" w16cid:durableId="444229419">
    <w:abstractNumId w:val="3"/>
  </w:num>
  <w:num w:numId="8" w16cid:durableId="54815151">
    <w:abstractNumId w:val="2"/>
  </w:num>
  <w:num w:numId="9" w16cid:durableId="1905331938">
    <w:abstractNumId w:val="4"/>
  </w:num>
  <w:num w:numId="10" w16cid:durableId="1267737598">
    <w:abstractNumId w:val="1"/>
  </w:num>
  <w:num w:numId="11" w16cid:durableId="984965775">
    <w:abstractNumId w:val="0"/>
  </w:num>
  <w:num w:numId="12" w16cid:durableId="1595825448">
    <w:abstractNumId w:val="16"/>
  </w:num>
  <w:num w:numId="13" w16cid:durableId="1767996275">
    <w:abstractNumId w:val="22"/>
  </w:num>
  <w:num w:numId="14" w16cid:durableId="1379040549">
    <w:abstractNumId w:val="11"/>
  </w:num>
  <w:num w:numId="15" w16cid:durableId="1443770173">
    <w:abstractNumId w:val="23"/>
  </w:num>
  <w:num w:numId="16" w16cid:durableId="1754936375">
    <w:abstractNumId w:val="19"/>
  </w:num>
  <w:num w:numId="17" w16cid:durableId="760179362">
    <w:abstractNumId w:val="15"/>
  </w:num>
  <w:num w:numId="18" w16cid:durableId="1925872846">
    <w:abstractNumId w:val="24"/>
  </w:num>
  <w:num w:numId="19" w16cid:durableId="1357193528">
    <w:abstractNumId w:val="18"/>
  </w:num>
  <w:num w:numId="20" w16cid:durableId="876619592">
    <w:abstractNumId w:val="13"/>
  </w:num>
  <w:num w:numId="21" w16cid:durableId="355355037">
    <w:abstractNumId w:val="12"/>
  </w:num>
  <w:num w:numId="22" w16cid:durableId="460005388">
    <w:abstractNumId w:val="9"/>
  </w:num>
  <w:num w:numId="23" w16cid:durableId="1238326558">
    <w:abstractNumId w:val="17"/>
  </w:num>
  <w:num w:numId="24" w16cid:durableId="1883590751">
    <w:abstractNumId w:val="8"/>
  </w:num>
  <w:num w:numId="25" w16cid:durableId="143945000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2A1"/>
    <w:rsid w:val="00000619"/>
    <w:rsid w:val="00001929"/>
    <w:rsid w:val="000037B0"/>
    <w:rsid w:val="00015209"/>
    <w:rsid w:val="000171B1"/>
    <w:rsid w:val="00017F7B"/>
    <w:rsid w:val="000415FF"/>
    <w:rsid w:val="0005168C"/>
    <w:rsid w:val="00060372"/>
    <w:rsid w:val="00061180"/>
    <w:rsid w:val="000658FA"/>
    <w:rsid w:val="00066BB1"/>
    <w:rsid w:val="00067E8F"/>
    <w:rsid w:val="000731EC"/>
    <w:rsid w:val="00073270"/>
    <w:rsid w:val="00075745"/>
    <w:rsid w:val="000821AC"/>
    <w:rsid w:val="00082D4C"/>
    <w:rsid w:val="00087307"/>
    <w:rsid w:val="00092385"/>
    <w:rsid w:val="000958CA"/>
    <w:rsid w:val="000A0B00"/>
    <w:rsid w:val="000B4758"/>
    <w:rsid w:val="000B56AF"/>
    <w:rsid w:val="000E6800"/>
    <w:rsid w:val="000E6BDD"/>
    <w:rsid w:val="00101E3D"/>
    <w:rsid w:val="001252D3"/>
    <w:rsid w:val="00130361"/>
    <w:rsid w:val="0013421F"/>
    <w:rsid w:val="00134C00"/>
    <w:rsid w:val="00135893"/>
    <w:rsid w:val="00135D89"/>
    <w:rsid w:val="001362DF"/>
    <w:rsid w:val="0014215F"/>
    <w:rsid w:val="0014217B"/>
    <w:rsid w:val="00146357"/>
    <w:rsid w:val="00154B06"/>
    <w:rsid w:val="00170FFE"/>
    <w:rsid w:val="00171725"/>
    <w:rsid w:val="00172273"/>
    <w:rsid w:val="00174695"/>
    <w:rsid w:val="00194225"/>
    <w:rsid w:val="00195706"/>
    <w:rsid w:val="001A3AF1"/>
    <w:rsid w:val="001B3152"/>
    <w:rsid w:val="001B4DD4"/>
    <w:rsid w:val="001B767D"/>
    <w:rsid w:val="001C11AB"/>
    <w:rsid w:val="001C3EE4"/>
    <w:rsid w:val="001C59E9"/>
    <w:rsid w:val="001C6634"/>
    <w:rsid w:val="001D2555"/>
    <w:rsid w:val="001D6DA6"/>
    <w:rsid w:val="001F508B"/>
    <w:rsid w:val="002050CA"/>
    <w:rsid w:val="00207DD7"/>
    <w:rsid w:val="00211082"/>
    <w:rsid w:val="002114B0"/>
    <w:rsid w:val="00217586"/>
    <w:rsid w:val="002210DF"/>
    <w:rsid w:val="00227866"/>
    <w:rsid w:val="00230684"/>
    <w:rsid w:val="00235583"/>
    <w:rsid w:val="002430F6"/>
    <w:rsid w:val="0024476E"/>
    <w:rsid w:val="002467D0"/>
    <w:rsid w:val="002475BB"/>
    <w:rsid w:val="0025164C"/>
    <w:rsid w:val="00254A5C"/>
    <w:rsid w:val="00274178"/>
    <w:rsid w:val="002860BA"/>
    <w:rsid w:val="00286F3C"/>
    <w:rsid w:val="002A0DB9"/>
    <w:rsid w:val="002B22F3"/>
    <w:rsid w:val="002B4B35"/>
    <w:rsid w:val="002B6931"/>
    <w:rsid w:val="002B7B1B"/>
    <w:rsid w:val="002C0D50"/>
    <w:rsid w:val="002C13C0"/>
    <w:rsid w:val="002C4827"/>
    <w:rsid w:val="002D3325"/>
    <w:rsid w:val="002E1A2F"/>
    <w:rsid w:val="002E1E10"/>
    <w:rsid w:val="002E6345"/>
    <w:rsid w:val="002F5871"/>
    <w:rsid w:val="002F7D86"/>
    <w:rsid w:val="00301859"/>
    <w:rsid w:val="00301AD2"/>
    <w:rsid w:val="0031449A"/>
    <w:rsid w:val="00322638"/>
    <w:rsid w:val="003230AD"/>
    <w:rsid w:val="00323871"/>
    <w:rsid w:val="00323EF7"/>
    <w:rsid w:val="003247FE"/>
    <w:rsid w:val="00332A34"/>
    <w:rsid w:val="00333956"/>
    <w:rsid w:val="00336BA5"/>
    <w:rsid w:val="003406B3"/>
    <w:rsid w:val="0034165F"/>
    <w:rsid w:val="003433F8"/>
    <w:rsid w:val="00343FAB"/>
    <w:rsid w:val="00362059"/>
    <w:rsid w:val="00374D69"/>
    <w:rsid w:val="00380F85"/>
    <w:rsid w:val="00386BC3"/>
    <w:rsid w:val="00392E02"/>
    <w:rsid w:val="003A3B9A"/>
    <w:rsid w:val="003A4E4D"/>
    <w:rsid w:val="003B7318"/>
    <w:rsid w:val="003D745E"/>
    <w:rsid w:val="003F034C"/>
    <w:rsid w:val="003F2911"/>
    <w:rsid w:val="00405079"/>
    <w:rsid w:val="00411F68"/>
    <w:rsid w:val="004152E7"/>
    <w:rsid w:val="00424610"/>
    <w:rsid w:val="00432BC7"/>
    <w:rsid w:val="00437477"/>
    <w:rsid w:val="00437856"/>
    <w:rsid w:val="0045113B"/>
    <w:rsid w:val="00455A0C"/>
    <w:rsid w:val="00475170"/>
    <w:rsid w:val="00477F60"/>
    <w:rsid w:val="00484DFF"/>
    <w:rsid w:val="0049738C"/>
    <w:rsid w:val="004A0858"/>
    <w:rsid w:val="004A1FB5"/>
    <w:rsid w:val="004A35B6"/>
    <w:rsid w:val="004A5EE0"/>
    <w:rsid w:val="004B25DC"/>
    <w:rsid w:val="004C0858"/>
    <w:rsid w:val="004D3016"/>
    <w:rsid w:val="004E03AC"/>
    <w:rsid w:val="004E24BC"/>
    <w:rsid w:val="004E2A0E"/>
    <w:rsid w:val="004E6096"/>
    <w:rsid w:val="004E6FA8"/>
    <w:rsid w:val="00500E9C"/>
    <w:rsid w:val="005046CF"/>
    <w:rsid w:val="00505042"/>
    <w:rsid w:val="0051057E"/>
    <w:rsid w:val="00511C95"/>
    <w:rsid w:val="00513567"/>
    <w:rsid w:val="00514CE6"/>
    <w:rsid w:val="00524785"/>
    <w:rsid w:val="00534258"/>
    <w:rsid w:val="005355EC"/>
    <w:rsid w:val="00535B87"/>
    <w:rsid w:val="00541BAE"/>
    <w:rsid w:val="00543F7E"/>
    <w:rsid w:val="00566F82"/>
    <w:rsid w:val="00567F5C"/>
    <w:rsid w:val="00574DA1"/>
    <w:rsid w:val="00581077"/>
    <w:rsid w:val="005B3AF0"/>
    <w:rsid w:val="005D2CDB"/>
    <w:rsid w:val="005D4FAF"/>
    <w:rsid w:val="005E1673"/>
    <w:rsid w:val="005E1D17"/>
    <w:rsid w:val="005F0098"/>
    <w:rsid w:val="005F03CC"/>
    <w:rsid w:val="00607ED7"/>
    <w:rsid w:val="006128AE"/>
    <w:rsid w:val="00621CF1"/>
    <w:rsid w:val="0064572B"/>
    <w:rsid w:val="00662BF0"/>
    <w:rsid w:val="0066662C"/>
    <w:rsid w:val="006679BB"/>
    <w:rsid w:val="00670630"/>
    <w:rsid w:val="00675ED2"/>
    <w:rsid w:val="00676818"/>
    <w:rsid w:val="00682C57"/>
    <w:rsid w:val="00683DE7"/>
    <w:rsid w:val="0069250E"/>
    <w:rsid w:val="00697FD0"/>
    <w:rsid w:val="006A000F"/>
    <w:rsid w:val="006B1510"/>
    <w:rsid w:val="006B2996"/>
    <w:rsid w:val="006B4C46"/>
    <w:rsid w:val="006B5157"/>
    <w:rsid w:val="006C5431"/>
    <w:rsid w:val="006C72B8"/>
    <w:rsid w:val="006D6CB2"/>
    <w:rsid w:val="006D71CA"/>
    <w:rsid w:val="006E2900"/>
    <w:rsid w:val="006E77D7"/>
    <w:rsid w:val="006F601D"/>
    <w:rsid w:val="00710D2F"/>
    <w:rsid w:val="00720F49"/>
    <w:rsid w:val="00720FB3"/>
    <w:rsid w:val="0072338D"/>
    <w:rsid w:val="00725ED9"/>
    <w:rsid w:val="0072737B"/>
    <w:rsid w:val="00733D16"/>
    <w:rsid w:val="00740AA0"/>
    <w:rsid w:val="00741B1E"/>
    <w:rsid w:val="00744FB6"/>
    <w:rsid w:val="007511D4"/>
    <w:rsid w:val="00752098"/>
    <w:rsid w:val="007565D7"/>
    <w:rsid w:val="007655D1"/>
    <w:rsid w:val="00771BDC"/>
    <w:rsid w:val="00774822"/>
    <w:rsid w:val="00783495"/>
    <w:rsid w:val="00783DC1"/>
    <w:rsid w:val="007876D4"/>
    <w:rsid w:val="00792FDE"/>
    <w:rsid w:val="00793417"/>
    <w:rsid w:val="007A3B12"/>
    <w:rsid w:val="007A4965"/>
    <w:rsid w:val="007A61B2"/>
    <w:rsid w:val="007D4132"/>
    <w:rsid w:val="007D68EB"/>
    <w:rsid w:val="007D6948"/>
    <w:rsid w:val="007D6B8B"/>
    <w:rsid w:val="007D7FB4"/>
    <w:rsid w:val="007E2AF7"/>
    <w:rsid w:val="0080215B"/>
    <w:rsid w:val="008021DF"/>
    <w:rsid w:val="008058C2"/>
    <w:rsid w:val="008111B5"/>
    <w:rsid w:val="00814A41"/>
    <w:rsid w:val="0082043A"/>
    <w:rsid w:val="008233D2"/>
    <w:rsid w:val="00824C52"/>
    <w:rsid w:val="008259E4"/>
    <w:rsid w:val="00826E4B"/>
    <w:rsid w:val="008456D1"/>
    <w:rsid w:val="00857C88"/>
    <w:rsid w:val="00860247"/>
    <w:rsid w:val="0087235C"/>
    <w:rsid w:val="008744E6"/>
    <w:rsid w:val="00894714"/>
    <w:rsid w:val="00895B75"/>
    <w:rsid w:val="008977E6"/>
    <w:rsid w:val="008A3FE7"/>
    <w:rsid w:val="008B17B3"/>
    <w:rsid w:val="008B29F8"/>
    <w:rsid w:val="008B519E"/>
    <w:rsid w:val="008C63C0"/>
    <w:rsid w:val="008D7BAA"/>
    <w:rsid w:val="008E1520"/>
    <w:rsid w:val="008E4A9B"/>
    <w:rsid w:val="008F3466"/>
    <w:rsid w:val="00900F7E"/>
    <w:rsid w:val="00905AEC"/>
    <w:rsid w:val="00906A4F"/>
    <w:rsid w:val="00911462"/>
    <w:rsid w:val="00917384"/>
    <w:rsid w:val="00924D64"/>
    <w:rsid w:val="009317F5"/>
    <w:rsid w:val="0093190F"/>
    <w:rsid w:val="009420F8"/>
    <w:rsid w:val="009445DE"/>
    <w:rsid w:val="00944E47"/>
    <w:rsid w:val="009475AE"/>
    <w:rsid w:val="00953800"/>
    <w:rsid w:val="0095433E"/>
    <w:rsid w:val="00954DE2"/>
    <w:rsid w:val="00956C12"/>
    <w:rsid w:val="00957DEB"/>
    <w:rsid w:val="0097366A"/>
    <w:rsid w:val="00992054"/>
    <w:rsid w:val="00992E45"/>
    <w:rsid w:val="0099416E"/>
    <w:rsid w:val="009944B2"/>
    <w:rsid w:val="00996241"/>
    <w:rsid w:val="009A470F"/>
    <w:rsid w:val="009A53F8"/>
    <w:rsid w:val="009C39E2"/>
    <w:rsid w:val="009C3E9D"/>
    <w:rsid w:val="009E0A84"/>
    <w:rsid w:val="009F0B8E"/>
    <w:rsid w:val="009F0CD2"/>
    <w:rsid w:val="009F57D4"/>
    <w:rsid w:val="009F5BAB"/>
    <w:rsid w:val="00A02451"/>
    <w:rsid w:val="00A05C48"/>
    <w:rsid w:val="00A07EB4"/>
    <w:rsid w:val="00A32C8B"/>
    <w:rsid w:val="00A334C1"/>
    <w:rsid w:val="00A36A77"/>
    <w:rsid w:val="00A441CB"/>
    <w:rsid w:val="00A51897"/>
    <w:rsid w:val="00A51AB6"/>
    <w:rsid w:val="00A611C6"/>
    <w:rsid w:val="00A81808"/>
    <w:rsid w:val="00A91C67"/>
    <w:rsid w:val="00A970AC"/>
    <w:rsid w:val="00AA0469"/>
    <w:rsid w:val="00AA3910"/>
    <w:rsid w:val="00AA51E2"/>
    <w:rsid w:val="00AA6632"/>
    <w:rsid w:val="00AA7FD1"/>
    <w:rsid w:val="00AB67BA"/>
    <w:rsid w:val="00AC1312"/>
    <w:rsid w:val="00AD38FD"/>
    <w:rsid w:val="00AD4960"/>
    <w:rsid w:val="00AD528F"/>
    <w:rsid w:val="00AD6D83"/>
    <w:rsid w:val="00AD7059"/>
    <w:rsid w:val="00AE211D"/>
    <w:rsid w:val="00AE4A10"/>
    <w:rsid w:val="00AF23D5"/>
    <w:rsid w:val="00B05EFD"/>
    <w:rsid w:val="00B06261"/>
    <w:rsid w:val="00B15037"/>
    <w:rsid w:val="00B26C66"/>
    <w:rsid w:val="00B30D60"/>
    <w:rsid w:val="00B33CBC"/>
    <w:rsid w:val="00B34BE3"/>
    <w:rsid w:val="00B41FE0"/>
    <w:rsid w:val="00B46278"/>
    <w:rsid w:val="00B57742"/>
    <w:rsid w:val="00B61A48"/>
    <w:rsid w:val="00B64CD7"/>
    <w:rsid w:val="00B705EC"/>
    <w:rsid w:val="00B7661B"/>
    <w:rsid w:val="00B828B0"/>
    <w:rsid w:val="00B85CCA"/>
    <w:rsid w:val="00B868C3"/>
    <w:rsid w:val="00B93694"/>
    <w:rsid w:val="00BA68EF"/>
    <w:rsid w:val="00BA6AC5"/>
    <w:rsid w:val="00BA6DB5"/>
    <w:rsid w:val="00BB17E4"/>
    <w:rsid w:val="00BB3CA1"/>
    <w:rsid w:val="00BB415D"/>
    <w:rsid w:val="00BB55B7"/>
    <w:rsid w:val="00BC49CB"/>
    <w:rsid w:val="00BD3AB1"/>
    <w:rsid w:val="00BD7694"/>
    <w:rsid w:val="00BF22A1"/>
    <w:rsid w:val="00BF3446"/>
    <w:rsid w:val="00C01D30"/>
    <w:rsid w:val="00C11462"/>
    <w:rsid w:val="00C14AE1"/>
    <w:rsid w:val="00C224E5"/>
    <w:rsid w:val="00C241BE"/>
    <w:rsid w:val="00C32DD0"/>
    <w:rsid w:val="00C37193"/>
    <w:rsid w:val="00C43AAC"/>
    <w:rsid w:val="00C64CD5"/>
    <w:rsid w:val="00C84362"/>
    <w:rsid w:val="00C84F82"/>
    <w:rsid w:val="00C96531"/>
    <w:rsid w:val="00CB038E"/>
    <w:rsid w:val="00CB082D"/>
    <w:rsid w:val="00CB2758"/>
    <w:rsid w:val="00CB68E3"/>
    <w:rsid w:val="00CC0A04"/>
    <w:rsid w:val="00CC46AE"/>
    <w:rsid w:val="00CF222C"/>
    <w:rsid w:val="00CF4DFE"/>
    <w:rsid w:val="00CF64C7"/>
    <w:rsid w:val="00D00259"/>
    <w:rsid w:val="00D02390"/>
    <w:rsid w:val="00D07AB0"/>
    <w:rsid w:val="00D20279"/>
    <w:rsid w:val="00D3588C"/>
    <w:rsid w:val="00D37DBF"/>
    <w:rsid w:val="00D47A89"/>
    <w:rsid w:val="00D60373"/>
    <w:rsid w:val="00D7183D"/>
    <w:rsid w:val="00D73939"/>
    <w:rsid w:val="00D76233"/>
    <w:rsid w:val="00D8179D"/>
    <w:rsid w:val="00D91DEE"/>
    <w:rsid w:val="00DA194F"/>
    <w:rsid w:val="00DB159D"/>
    <w:rsid w:val="00DB1A84"/>
    <w:rsid w:val="00DC4248"/>
    <w:rsid w:val="00DD1DE4"/>
    <w:rsid w:val="00DD3DA9"/>
    <w:rsid w:val="00DD4270"/>
    <w:rsid w:val="00DE2CF8"/>
    <w:rsid w:val="00DE4018"/>
    <w:rsid w:val="00DF09C6"/>
    <w:rsid w:val="00DF18AC"/>
    <w:rsid w:val="00DF3C2E"/>
    <w:rsid w:val="00DF5CC7"/>
    <w:rsid w:val="00DF606C"/>
    <w:rsid w:val="00E01B6D"/>
    <w:rsid w:val="00E03429"/>
    <w:rsid w:val="00E04D30"/>
    <w:rsid w:val="00E11D66"/>
    <w:rsid w:val="00E27834"/>
    <w:rsid w:val="00E370AF"/>
    <w:rsid w:val="00E444B6"/>
    <w:rsid w:val="00E52F92"/>
    <w:rsid w:val="00E55579"/>
    <w:rsid w:val="00E5684C"/>
    <w:rsid w:val="00E56BBA"/>
    <w:rsid w:val="00E60D60"/>
    <w:rsid w:val="00E63A1D"/>
    <w:rsid w:val="00E64DF1"/>
    <w:rsid w:val="00E73C0B"/>
    <w:rsid w:val="00E74606"/>
    <w:rsid w:val="00E83203"/>
    <w:rsid w:val="00E90EE7"/>
    <w:rsid w:val="00E937C5"/>
    <w:rsid w:val="00EB5D26"/>
    <w:rsid w:val="00EC55A9"/>
    <w:rsid w:val="00EC6406"/>
    <w:rsid w:val="00EC6C00"/>
    <w:rsid w:val="00EC6C11"/>
    <w:rsid w:val="00EC7B84"/>
    <w:rsid w:val="00ED06B2"/>
    <w:rsid w:val="00ED63CA"/>
    <w:rsid w:val="00F01AB6"/>
    <w:rsid w:val="00F1725D"/>
    <w:rsid w:val="00F30038"/>
    <w:rsid w:val="00F3245F"/>
    <w:rsid w:val="00F55CBC"/>
    <w:rsid w:val="00F6043F"/>
    <w:rsid w:val="00F632FA"/>
    <w:rsid w:val="00F75C77"/>
    <w:rsid w:val="00F76507"/>
    <w:rsid w:val="00F846EE"/>
    <w:rsid w:val="00FA0B21"/>
    <w:rsid w:val="00FA2DBE"/>
    <w:rsid w:val="00FB0609"/>
    <w:rsid w:val="00FB0A20"/>
    <w:rsid w:val="00FB29E0"/>
    <w:rsid w:val="00FB3F74"/>
    <w:rsid w:val="00FB431C"/>
    <w:rsid w:val="00FB7376"/>
    <w:rsid w:val="00FC41F9"/>
    <w:rsid w:val="00FC5C38"/>
    <w:rsid w:val="00FD45B9"/>
    <w:rsid w:val="00FD70F9"/>
    <w:rsid w:val="00FE3834"/>
    <w:rsid w:val="00FF100A"/>
    <w:rsid w:val="00FF2E83"/>
    <w:rsid w:val="00FF5A6A"/>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E3A8F"/>
  <w15:chartTrackingRefBased/>
  <w15:docId w15:val="{4732843E-AABA-42A3-8D8F-0A02F8F5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DBF"/>
    <w:pPr>
      <w:spacing w:after="0" w:line="240" w:lineRule="auto"/>
    </w:pPr>
    <w:rPr>
      <w:rFonts w:ascii="Calibri" w:eastAsia="Calibri" w:hAnsi="Calibri" w:cs="Calibri"/>
      <w:kern w:val="0"/>
      <w:sz w:val="22"/>
      <w:szCs w:val="22"/>
      <w:lang w:eastAsia="es-MX"/>
      <w14:ligatures w14:val="none"/>
    </w:rPr>
  </w:style>
  <w:style w:type="paragraph" w:styleId="Ttulo1">
    <w:name w:val="heading 1"/>
    <w:basedOn w:val="Normal"/>
    <w:next w:val="Normal"/>
    <w:link w:val="Ttulo1Car"/>
    <w:uiPriority w:val="9"/>
    <w:qFormat/>
    <w:rsid w:val="00BF2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F2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F22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BF22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BF22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BF22A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22A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BF22A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BF22A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22A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1"/>
    <w:rsid w:val="00BF22A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F22A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22A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22A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22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22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22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22A1"/>
    <w:rPr>
      <w:rFonts w:eastAsiaTheme="majorEastAsia" w:cstheme="majorBidi"/>
      <w:color w:val="272727" w:themeColor="text1" w:themeTint="D8"/>
    </w:rPr>
  </w:style>
  <w:style w:type="paragraph" w:styleId="Ttulo">
    <w:name w:val="Title"/>
    <w:basedOn w:val="Normal"/>
    <w:next w:val="Normal"/>
    <w:link w:val="TtuloCar"/>
    <w:uiPriority w:val="1"/>
    <w:qFormat/>
    <w:rsid w:val="00BF22A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
    <w:rsid w:val="00BF22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22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22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22A1"/>
    <w:pPr>
      <w:spacing w:before="160"/>
      <w:jc w:val="center"/>
    </w:pPr>
    <w:rPr>
      <w:i/>
      <w:iCs/>
      <w:color w:val="404040" w:themeColor="text1" w:themeTint="BF"/>
    </w:rPr>
  </w:style>
  <w:style w:type="character" w:customStyle="1" w:styleId="CitaCar">
    <w:name w:val="Cita Car"/>
    <w:basedOn w:val="Fuentedeprrafopredeter"/>
    <w:link w:val="Cita"/>
    <w:uiPriority w:val="29"/>
    <w:rsid w:val="00BF22A1"/>
    <w:rPr>
      <w:i/>
      <w:iCs/>
      <w:color w:val="404040" w:themeColor="text1" w:themeTint="BF"/>
    </w:rPr>
  </w:style>
  <w:style w:type="paragraph" w:styleId="Prrafodelista">
    <w:name w:val="List Paragraph"/>
    <w:aliases w:val="1_List Paragraph,Párrafo de lista1,Párrafo"/>
    <w:basedOn w:val="Normal"/>
    <w:link w:val="PrrafodelistaCar"/>
    <w:qFormat/>
    <w:rsid w:val="00BF22A1"/>
    <w:pPr>
      <w:ind w:left="720"/>
      <w:contextualSpacing/>
    </w:pPr>
  </w:style>
  <w:style w:type="character" w:customStyle="1" w:styleId="PrrafodelistaCar">
    <w:name w:val="Párrafo de lista Car"/>
    <w:aliases w:val="1_List Paragraph Car,Párrafo de lista1 Car,Párrafo Car"/>
    <w:link w:val="Prrafodelista"/>
    <w:qFormat/>
    <w:locked/>
    <w:rsid w:val="00EC6C11"/>
    <w:rPr>
      <w:rFonts w:ascii="Calibri" w:eastAsia="Calibri" w:hAnsi="Calibri" w:cs="Calibri"/>
      <w:kern w:val="0"/>
      <w:sz w:val="22"/>
      <w:szCs w:val="22"/>
      <w:lang w:eastAsia="es-MX"/>
      <w14:ligatures w14:val="none"/>
    </w:rPr>
  </w:style>
  <w:style w:type="character" w:styleId="nfasisintenso">
    <w:name w:val="Intense Emphasis"/>
    <w:basedOn w:val="Fuentedeprrafopredeter"/>
    <w:uiPriority w:val="21"/>
    <w:qFormat/>
    <w:rsid w:val="00BF22A1"/>
    <w:rPr>
      <w:i/>
      <w:iCs/>
      <w:color w:val="0F4761" w:themeColor="accent1" w:themeShade="BF"/>
    </w:rPr>
  </w:style>
  <w:style w:type="paragraph" w:styleId="Citadestacada">
    <w:name w:val="Intense Quote"/>
    <w:basedOn w:val="Normal"/>
    <w:next w:val="Normal"/>
    <w:link w:val="CitadestacadaCar"/>
    <w:uiPriority w:val="30"/>
    <w:qFormat/>
    <w:rsid w:val="00BF2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22A1"/>
    <w:rPr>
      <w:i/>
      <w:iCs/>
      <w:color w:val="0F4761" w:themeColor="accent1" w:themeShade="BF"/>
    </w:rPr>
  </w:style>
  <w:style w:type="character" w:styleId="Referenciaintensa">
    <w:name w:val="Intense Reference"/>
    <w:basedOn w:val="Fuentedeprrafopredeter"/>
    <w:uiPriority w:val="32"/>
    <w:qFormat/>
    <w:rsid w:val="00BF22A1"/>
    <w:rPr>
      <w:b/>
      <w:bCs/>
      <w:smallCaps/>
      <w:color w:val="0F4761" w:themeColor="accent1" w:themeShade="BF"/>
      <w:spacing w:val="5"/>
    </w:rPr>
  </w:style>
  <w:style w:type="paragraph" w:styleId="Encabezado">
    <w:name w:val="header"/>
    <w:basedOn w:val="Normal"/>
    <w:link w:val="EncabezadoCar"/>
    <w:uiPriority w:val="99"/>
    <w:unhideWhenUsed/>
    <w:rsid w:val="00BF22A1"/>
    <w:pPr>
      <w:tabs>
        <w:tab w:val="center" w:pos="4419"/>
        <w:tab w:val="right" w:pos="8838"/>
      </w:tabs>
    </w:pPr>
  </w:style>
  <w:style w:type="character" w:customStyle="1" w:styleId="EncabezadoCar">
    <w:name w:val="Encabezado Car"/>
    <w:basedOn w:val="Fuentedeprrafopredeter"/>
    <w:link w:val="Encabezado"/>
    <w:uiPriority w:val="99"/>
    <w:rsid w:val="00BF22A1"/>
  </w:style>
  <w:style w:type="paragraph" w:styleId="Piedepgina">
    <w:name w:val="footer"/>
    <w:basedOn w:val="Normal"/>
    <w:link w:val="PiedepginaCar"/>
    <w:uiPriority w:val="99"/>
    <w:unhideWhenUsed/>
    <w:rsid w:val="00BF22A1"/>
    <w:pPr>
      <w:tabs>
        <w:tab w:val="center" w:pos="4419"/>
        <w:tab w:val="right" w:pos="8838"/>
      </w:tabs>
    </w:pPr>
  </w:style>
  <w:style w:type="character" w:customStyle="1" w:styleId="PiedepginaCar">
    <w:name w:val="Pie de página Car"/>
    <w:basedOn w:val="Fuentedeprrafopredeter"/>
    <w:link w:val="Piedepgina"/>
    <w:uiPriority w:val="99"/>
    <w:rsid w:val="00BF22A1"/>
  </w:style>
  <w:style w:type="paragraph" w:styleId="NormalWeb">
    <w:name w:val="Normal (Web)"/>
    <w:basedOn w:val="Normal"/>
    <w:uiPriority w:val="99"/>
    <w:semiHidden/>
    <w:unhideWhenUsed/>
    <w:rsid w:val="003A3B9A"/>
    <w:rPr>
      <w:rFonts w:ascii="Times New Roman" w:hAnsi="Times New Roman" w:cs="Times New Roman"/>
      <w:sz w:val="24"/>
      <w:szCs w:val="24"/>
    </w:rPr>
  </w:style>
  <w:style w:type="table" w:styleId="Tablaconcuadrcula">
    <w:name w:val="Table Grid"/>
    <w:basedOn w:val="Tablanormal"/>
    <w:uiPriority w:val="59"/>
    <w:qFormat/>
    <w:rsid w:val="00B5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C6C11"/>
    <w:pPr>
      <w:spacing w:after="0" w:line="240" w:lineRule="auto"/>
    </w:pPr>
    <w:rPr>
      <w:rFonts w:eastAsiaTheme="minorEastAsia"/>
      <w:kern w:val="0"/>
      <w:sz w:val="22"/>
      <w:szCs w:val="22"/>
      <w:lang w:val="en-US"/>
      <w14:ligatures w14:val="none"/>
    </w:rPr>
  </w:style>
  <w:style w:type="paragraph" w:styleId="Textoindependiente">
    <w:name w:val="Body Text"/>
    <w:basedOn w:val="Normal"/>
    <w:link w:val="TextoindependienteCar"/>
    <w:uiPriority w:val="1"/>
    <w:unhideWhenUsed/>
    <w:qFormat/>
    <w:rsid w:val="00EC6C11"/>
    <w:pPr>
      <w:spacing w:after="120" w:line="276" w:lineRule="auto"/>
    </w:pPr>
    <w:rPr>
      <w:rFonts w:eastAsiaTheme="minorEastAsia" w:cstheme="minorBidi"/>
      <w:lang w:val="en-US" w:eastAsia="en-US"/>
    </w:rPr>
  </w:style>
  <w:style w:type="character" w:customStyle="1" w:styleId="TextoindependienteCar">
    <w:name w:val="Texto independiente Car"/>
    <w:basedOn w:val="Fuentedeprrafopredeter"/>
    <w:link w:val="Textoindependiente"/>
    <w:uiPriority w:val="1"/>
    <w:rsid w:val="00EC6C11"/>
    <w:rPr>
      <w:rFonts w:ascii="Calibri" w:eastAsiaTheme="minorEastAsia" w:hAnsi="Calibri"/>
      <w:kern w:val="0"/>
      <w:sz w:val="22"/>
      <w:szCs w:val="22"/>
      <w:lang w:val="en-US"/>
      <w14:ligatures w14:val="none"/>
    </w:rPr>
  </w:style>
  <w:style w:type="paragraph" w:styleId="Textoindependiente2">
    <w:name w:val="Body Text 2"/>
    <w:basedOn w:val="Normal"/>
    <w:link w:val="Textoindependiente2Car"/>
    <w:uiPriority w:val="99"/>
    <w:unhideWhenUsed/>
    <w:rsid w:val="00EC6C11"/>
    <w:pPr>
      <w:spacing w:after="120" w:line="480" w:lineRule="auto"/>
    </w:pPr>
    <w:rPr>
      <w:rFonts w:eastAsiaTheme="minorEastAsia" w:cstheme="minorBidi"/>
      <w:lang w:val="en-US" w:eastAsia="en-US"/>
    </w:rPr>
  </w:style>
  <w:style w:type="character" w:customStyle="1" w:styleId="Textoindependiente2Car">
    <w:name w:val="Texto independiente 2 Car"/>
    <w:basedOn w:val="Fuentedeprrafopredeter"/>
    <w:link w:val="Textoindependiente2"/>
    <w:uiPriority w:val="99"/>
    <w:rsid w:val="00EC6C11"/>
    <w:rPr>
      <w:rFonts w:ascii="Calibri" w:eastAsiaTheme="minorEastAsia" w:hAnsi="Calibri"/>
      <w:kern w:val="0"/>
      <w:sz w:val="22"/>
      <w:szCs w:val="22"/>
      <w:lang w:val="en-US"/>
      <w14:ligatures w14:val="none"/>
    </w:rPr>
  </w:style>
  <w:style w:type="paragraph" w:styleId="Textoindependiente3">
    <w:name w:val="Body Text 3"/>
    <w:basedOn w:val="Normal"/>
    <w:link w:val="Textoindependiente3Car"/>
    <w:uiPriority w:val="99"/>
    <w:unhideWhenUsed/>
    <w:rsid w:val="00EC6C11"/>
    <w:pPr>
      <w:spacing w:after="120" w:line="276" w:lineRule="auto"/>
    </w:pPr>
    <w:rPr>
      <w:rFonts w:eastAsiaTheme="minorEastAsia" w:cstheme="minorBidi"/>
      <w:sz w:val="16"/>
      <w:szCs w:val="16"/>
      <w:lang w:val="en-US" w:eastAsia="en-US"/>
    </w:rPr>
  </w:style>
  <w:style w:type="character" w:customStyle="1" w:styleId="Textoindependiente3Car">
    <w:name w:val="Texto independiente 3 Car"/>
    <w:basedOn w:val="Fuentedeprrafopredeter"/>
    <w:link w:val="Textoindependiente3"/>
    <w:uiPriority w:val="99"/>
    <w:rsid w:val="00EC6C11"/>
    <w:rPr>
      <w:rFonts w:ascii="Calibri" w:eastAsiaTheme="minorEastAsia" w:hAnsi="Calibri"/>
      <w:kern w:val="0"/>
      <w:sz w:val="16"/>
      <w:szCs w:val="16"/>
      <w:lang w:val="en-US"/>
      <w14:ligatures w14:val="none"/>
    </w:rPr>
  </w:style>
  <w:style w:type="paragraph" w:styleId="Lista">
    <w:name w:val="List"/>
    <w:basedOn w:val="Normal"/>
    <w:uiPriority w:val="99"/>
    <w:unhideWhenUsed/>
    <w:rsid w:val="00EC6C11"/>
    <w:pPr>
      <w:spacing w:after="200" w:line="276" w:lineRule="auto"/>
      <w:ind w:left="360" w:hanging="360"/>
      <w:contextualSpacing/>
    </w:pPr>
    <w:rPr>
      <w:rFonts w:eastAsiaTheme="minorEastAsia" w:cstheme="minorBidi"/>
      <w:lang w:val="en-US" w:eastAsia="en-US"/>
    </w:rPr>
  </w:style>
  <w:style w:type="paragraph" w:styleId="Lista2">
    <w:name w:val="List 2"/>
    <w:basedOn w:val="Normal"/>
    <w:uiPriority w:val="99"/>
    <w:unhideWhenUsed/>
    <w:rsid w:val="00EC6C11"/>
    <w:pPr>
      <w:spacing w:after="200" w:line="276" w:lineRule="auto"/>
      <w:ind w:left="720" w:hanging="360"/>
      <w:contextualSpacing/>
    </w:pPr>
    <w:rPr>
      <w:rFonts w:eastAsiaTheme="minorEastAsia" w:cstheme="minorBidi"/>
      <w:lang w:val="en-US" w:eastAsia="en-US"/>
    </w:rPr>
  </w:style>
  <w:style w:type="paragraph" w:styleId="Lista3">
    <w:name w:val="List 3"/>
    <w:basedOn w:val="Normal"/>
    <w:uiPriority w:val="99"/>
    <w:unhideWhenUsed/>
    <w:rsid w:val="00EC6C11"/>
    <w:pPr>
      <w:spacing w:after="200" w:line="276" w:lineRule="auto"/>
      <w:ind w:left="1080" w:hanging="360"/>
      <w:contextualSpacing/>
    </w:pPr>
    <w:rPr>
      <w:rFonts w:eastAsiaTheme="minorEastAsia" w:cstheme="minorBidi"/>
      <w:lang w:val="en-US" w:eastAsia="en-US"/>
    </w:rPr>
  </w:style>
  <w:style w:type="paragraph" w:styleId="Listaconvietas">
    <w:name w:val="List Bullet"/>
    <w:basedOn w:val="Normal"/>
    <w:uiPriority w:val="99"/>
    <w:unhideWhenUsed/>
    <w:rsid w:val="00EC6C11"/>
    <w:pPr>
      <w:numPr>
        <w:numId w:val="6"/>
      </w:numPr>
      <w:spacing w:after="200" w:line="276" w:lineRule="auto"/>
      <w:contextualSpacing/>
    </w:pPr>
    <w:rPr>
      <w:rFonts w:eastAsiaTheme="minorEastAsia" w:cstheme="minorBidi"/>
      <w:lang w:val="en-US" w:eastAsia="en-US"/>
    </w:rPr>
  </w:style>
  <w:style w:type="paragraph" w:styleId="Listaconvietas2">
    <w:name w:val="List Bullet 2"/>
    <w:basedOn w:val="Normal"/>
    <w:uiPriority w:val="99"/>
    <w:unhideWhenUsed/>
    <w:rsid w:val="00EC6C11"/>
    <w:pPr>
      <w:numPr>
        <w:numId w:val="7"/>
      </w:numPr>
      <w:spacing w:after="200" w:line="276" w:lineRule="auto"/>
      <w:contextualSpacing/>
    </w:pPr>
    <w:rPr>
      <w:rFonts w:eastAsiaTheme="minorEastAsia" w:cstheme="minorBidi"/>
      <w:lang w:val="en-US" w:eastAsia="en-US"/>
    </w:rPr>
  </w:style>
  <w:style w:type="paragraph" w:styleId="Listaconvietas3">
    <w:name w:val="List Bullet 3"/>
    <w:basedOn w:val="Normal"/>
    <w:uiPriority w:val="99"/>
    <w:unhideWhenUsed/>
    <w:rsid w:val="00EC6C11"/>
    <w:pPr>
      <w:numPr>
        <w:numId w:val="8"/>
      </w:numPr>
      <w:spacing w:after="200" w:line="276" w:lineRule="auto"/>
      <w:contextualSpacing/>
    </w:pPr>
    <w:rPr>
      <w:rFonts w:eastAsiaTheme="minorEastAsia" w:cstheme="minorBidi"/>
      <w:lang w:val="en-US" w:eastAsia="en-US"/>
    </w:rPr>
  </w:style>
  <w:style w:type="paragraph" w:styleId="Listaconnmeros">
    <w:name w:val="List Number"/>
    <w:basedOn w:val="Normal"/>
    <w:uiPriority w:val="99"/>
    <w:unhideWhenUsed/>
    <w:rsid w:val="00EC6C11"/>
    <w:pPr>
      <w:numPr>
        <w:numId w:val="9"/>
      </w:numPr>
      <w:spacing w:after="200" w:line="276" w:lineRule="auto"/>
      <w:contextualSpacing/>
    </w:pPr>
    <w:rPr>
      <w:rFonts w:eastAsiaTheme="minorEastAsia" w:cstheme="minorBidi"/>
      <w:lang w:val="en-US" w:eastAsia="en-US"/>
    </w:rPr>
  </w:style>
  <w:style w:type="paragraph" w:styleId="Listaconnmeros2">
    <w:name w:val="List Number 2"/>
    <w:basedOn w:val="Normal"/>
    <w:uiPriority w:val="99"/>
    <w:unhideWhenUsed/>
    <w:rsid w:val="00EC6C11"/>
    <w:pPr>
      <w:numPr>
        <w:numId w:val="10"/>
      </w:numPr>
      <w:spacing w:after="200" w:line="276" w:lineRule="auto"/>
      <w:contextualSpacing/>
    </w:pPr>
    <w:rPr>
      <w:rFonts w:eastAsiaTheme="minorEastAsia" w:cstheme="minorBidi"/>
      <w:lang w:val="en-US" w:eastAsia="en-US"/>
    </w:rPr>
  </w:style>
  <w:style w:type="paragraph" w:styleId="Listaconnmeros3">
    <w:name w:val="List Number 3"/>
    <w:basedOn w:val="Normal"/>
    <w:uiPriority w:val="99"/>
    <w:unhideWhenUsed/>
    <w:rsid w:val="00EC6C11"/>
    <w:pPr>
      <w:numPr>
        <w:numId w:val="11"/>
      </w:numPr>
      <w:spacing w:after="200" w:line="276" w:lineRule="auto"/>
      <w:contextualSpacing/>
    </w:pPr>
    <w:rPr>
      <w:rFonts w:eastAsiaTheme="minorEastAsia" w:cstheme="minorBidi"/>
      <w:lang w:val="en-US" w:eastAsia="en-US"/>
    </w:rPr>
  </w:style>
  <w:style w:type="paragraph" w:styleId="Continuarlista">
    <w:name w:val="List Continue"/>
    <w:basedOn w:val="Normal"/>
    <w:uiPriority w:val="99"/>
    <w:unhideWhenUsed/>
    <w:rsid w:val="00EC6C11"/>
    <w:pPr>
      <w:spacing w:after="120" w:line="276" w:lineRule="auto"/>
      <w:ind w:left="360"/>
      <w:contextualSpacing/>
    </w:pPr>
    <w:rPr>
      <w:rFonts w:eastAsiaTheme="minorEastAsia" w:cstheme="minorBidi"/>
      <w:lang w:val="en-US" w:eastAsia="en-US"/>
    </w:rPr>
  </w:style>
  <w:style w:type="paragraph" w:styleId="Continuarlista2">
    <w:name w:val="List Continue 2"/>
    <w:basedOn w:val="Normal"/>
    <w:uiPriority w:val="99"/>
    <w:unhideWhenUsed/>
    <w:rsid w:val="00EC6C11"/>
    <w:pPr>
      <w:spacing w:after="120" w:line="276" w:lineRule="auto"/>
      <w:ind w:left="720"/>
      <w:contextualSpacing/>
    </w:pPr>
    <w:rPr>
      <w:rFonts w:eastAsiaTheme="minorEastAsia" w:cstheme="minorBidi"/>
      <w:lang w:val="en-US" w:eastAsia="en-US"/>
    </w:rPr>
  </w:style>
  <w:style w:type="paragraph" w:styleId="Continuarlista3">
    <w:name w:val="List Continue 3"/>
    <w:basedOn w:val="Normal"/>
    <w:uiPriority w:val="99"/>
    <w:unhideWhenUsed/>
    <w:rsid w:val="00EC6C11"/>
    <w:pPr>
      <w:spacing w:after="120" w:line="276" w:lineRule="auto"/>
      <w:ind w:left="1080"/>
      <w:contextualSpacing/>
    </w:pPr>
    <w:rPr>
      <w:rFonts w:eastAsiaTheme="minorEastAsia" w:cstheme="minorBidi"/>
      <w:lang w:val="en-US" w:eastAsia="en-US"/>
    </w:rPr>
  </w:style>
  <w:style w:type="paragraph" w:styleId="Textomacro">
    <w:name w:val="macro"/>
    <w:link w:val="TextomacroCar"/>
    <w:uiPriority w:val="99"/>
    <w:unhideWhenUsed/>
    <w:rsid w:val="00EC6C1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xtomacroCar">
    <w:name w:val="Texto macro Car"/>
    <w:basedOn w:val="Fuentedeprrafopredeter"/>
    <w:link w:val="Textomacro"/>
    <w:uiPriority w:val="99"/>
    <w:rsid w:val="00EC6C11"/>
    <w:rPr>
      <w:rFonts w:ascii="Courier" w:eastAsiaTheme="minorEastAsia" w:hAnsi="Courier"/>
      <w:kern w:val="0"/>
      <w:sz w:val="20"/>
      <w:szCs w:val="20"/>
      <w:lang w:val="en-US"/>
      <w14:ligatures w14:val="none"/>
    </w:rPr>
  </w:style>
  <w:style w:type="character" w:styleId="Fuerte">
    <w:name w:val="Strong"/>
    <w:basedOn w:val="Fuentedeprrafopredeter"/>
    <w:uiPriority w:val="22"/>
    <w:qFormat/>
    <w:rsid w:val="00EC6C11"/>
    <w:rPr>
      <w:b/>
      <w:bCs/>
    </w:rPr>
  </w:style>
  <w:style w:type="character" w:styleId="nfasis">
    <w:name w:val="Emphasis"/>
    <w:basedOn w:val="Fuentedeprrafopredeter"/>
    <w:uiPriority w:val="20"/>
    <w:qFormat/>
    <w:rsid w:val="00EC6C11"/>
    <w:rPr>
      <w:i/>
      <w:iCs/>
    </w:rPr>
  </w:style>
  <w:style w:type="character" w:styleId="nfasissutil">
    <w:name w:val="Subtle Emphasis"/>
    <w:basedOn w:val="Fuentedeprrafopredeter"/>
    <w:uiPriority w:val="19"/>
    <w:qFormat/>
    <w:rsid w:val="00EC6C11"/>
    <w:rPr>
      <w:i/>
      <w:iCs/>
      <w:color w:val="808080" w:themeColor="text1" w:themeTint="7F"/>
    </w:rPr>
  </w:style>
  <w:style w:type="character" w:styleId="Referenciasutil">
    <w:name w:val="Subtle Reference"/>
    <w:basedOn w:val="Fuentedeprrafopredeter"/>
    <w:uiPriority w:val="31"/>
    <w:qFormat/>
    <w:rsid w:val="00EC6C11"/>
    <w:rPr>
      <w:smallCaps/>
      <w:color w:val="E97132" w:themeColor="accent2"/>
      <w:u w:val="single"/>
    </w:rPr>
  </w:style>
  <w:style w:type="character" w:styleId="Ttulodellibro">
    <w:name w:val="Book Title"/>
    <w:basedOn w:val="Fuentedeprrafopredeter"/>
    <w:uiPriority w:val="33"/>
    <w:qFormat/>
    <w:rsid w:val="00EC6C11"/>
    <w:rPr>
      <w:b/>
      <w:bCs/>
      <w:smallCaps/>
      <w:spacing w:val="5"/>
    </w:rPr>
  </w:style>
  <w:style w:type="paragraph" w:customStyle="1" w:styleId="paragraph">
    <w:name w:val="paragraph"/>
    <w:basedOn w:val="Normal"/>
    <w:rsid w:val="00EC6C11"/>
    <w:pPr>
      <w:spacing w:before="100" w:beforeAutospacing="1" w:after="100" w:afterAutospacing="1"/>
    </w:pPr>
    <w:rPr>
      <w:rFonts w:ascii="Times New Roman" w:eastAsia="Times New Roman" w:hAnsi="Times New Roman" w:cs="Times New Roman"/>
      <w:sz w:val="24"/>
      <w:szCs w:val="24"/>
      <w:lang w:val="en-US" w:eastAsia="es-CL"/>
    </w:rPr>
  </w:style>
  <w:style w:type="character" w:customStyle="1" w:styleId="normaltextrun">
    <w:name w:val="normaltextrun"/>
    <w:basedOn w:val="Fuentedeprrafopredeter"/>
    <w:rsid w:val="00EC6C11"/>
  </w:style>
  <w:style w:type="character" w:customStyle="1" w:styleId="eop">
    <w:name w:val="eop"/>
    <w:basedOn w:val="Fuentedeprrafopredeter"/>
    <w:rsid w:val="00EC6C11"/>
  </w:style>
  <w:style w:type="character" w:styleId="Hipervnculo">
    <w:name w:val="Hyperlink"/>
    <w:basedOn w:val="Fuentedeprrafopredeter"/>
    <w:uiPriority w:val="99"/>
    <w:unhideWhenUsed/>
    <w:rsid w:val="00EC6C11"/>
    <w:rPr>
      <w:color w:val="467886" w:themeColor="hyperlink"/>
      <w:u w:val="single"/>
    </w:rPr>
  </w:style>
  <w:style w:type="paragraph" w:styleId="Textonotapie">
    <w:name w:val="footnote text"/>
    <w:basedOn w:val="Normal"/>
    <w:link w:val="TextonotapieCar"/>
    <w:uiPriority w:val="99"/>
    <w:semiHidden/>
    <w:unhideWhenUsed/>
    <w:rsid w:val="00EC6C11"/>
    <w:rPr>
      <w:sz w:val="20"/>
      <w:szCs w:val="20"/>
      <w:lang w:eastAsia="es-CL"/>
    </w:rPr>
  </w:style>
  <w:style w:type="character" w:customStyle="1" w:styleId="TextonotapieCar">
    <w:name w:val="Texto nota pie Car"/>
    <w:basedOn w:val="Fuentedeprrafopredeter"/>
    <w:link w:val="Textonotapie"/>
    <w:uiPriority w:val="99"/>
    <w:semiHidden/>
    <w:rsid w:val="00EC6C11"/>
    <w:rPr>
      <w:rFonts w:ascii="Calibri" w:eastAsia="Calibri" w:hAnsi="Calibri" w:cs="Calibri"/>
      <w:kern w:val="0"/>
      <w:sz w:val="20"/>
      <w:szCs w:val="20"/>
      <w:lang w:eastAsia="es-CL"/>
      <w14:ligatures w14:val="none"/>
    </w:rPr>
  </w:style>
  <w:style w:type="character" w:styleId="Refdenotaalpie">
    <w:name w:val="footnote reference"/>
    <w:basedOn w:val="Fuentedeprrafopredeter"/>
    <w:uiPriority w:val="99"/>
    <w:semiHidden/>
    <w:unhideWhenUsed/>
    <w:rsid w:val="00EC6C11"/>
    <w:rPr>
      <w:vertAlign w:val="superscript"/>
    </w:rPr>
  </w:style>
  <w:style w:type="paragraph" w:customStyle="1" w:styleId="TableParagraph">
    <w:name w:val="Table Paragraph"/>
    <w:basedOn w:val="Normal"/>
    <w:uiPriority w:val="1"/>
    <w:qFormat/>
    <w:rsid w:val="00EC6C11"/>
    <w:pPr>
      <w:widowControl w:val="0"/>
      <w:autoSpaceDE w:val="0"/>
      <w:autoSpaceDN w:val="0"/>
      <w:ind w:left="117"/>
    </w:pPr>
    <w:rPr>
      <w:rFonts w:ascii="Cambria" w:eastAsia="Cambria" w:hAnsi="Cambria" w:cs="Cambria"/>
      <w:lang w:val="es-ES" w:eastAsia="en-US"/>
    </w:rPr>
  </w:style>
  <w:style w:type="table" w:styleId="Tablanormal1">
    <w:name w:val="Plain Table 1"/>
    <w:basedOn w:val="Tablanormal"/>
    <w:uiPriority w:val="41"/>
    <w:rsid w:val="00FD45B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5oscura-nfasis1">
    <w:name w:val="Grid Table 5 Dark Accent 1"/>
    <w:basedOn w:val="Tablanormal"/>
    <w:uiPriority w:val="50"/>
    <w:rsid w:val="00FD45B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2-nfasis1">
    <w:name w:val="Grid Table 2 Accent 1"/>
    <w:basedOn w:val="Tablanormal"/>
    <w:uiPriority w:val="47"/>
    <w:rsid w:val="00FD45B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Normal">
    <w:name w:val="Table Normal"/>
    <w:uiPriority w:val="2"/>
    <w:semiHidden/>
    <w:unhideWhenUsed/>
    <w:qFormat/>
    <w:rsid w:val="00C43AA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styleId="Tablaconcuadrculaclara">
    <w:name w:val="Grid Table Light"/>
    <w:basedOn w:val="Tablanormal"/>
    <w:uiPriority w:val="40"/>
    <w:rsid w:val="00BB55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
    <w:name w:val="Grid Table 1 Light"/>
    <w:basedOn w:val="Tablanormal"/>
    <w:uiPriority w:val="46"/>
    <w:rsid w:val="00BB55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E937C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37C5"/>
    <w:rPr>
      <w:rFonts w:ascii="Segoe UI" w:eastAsia="Calibri" w:hAnsi="Segoe UI" w:cs="Segoe UI"/>
      <w:kern w:val="0"/>
      <w:sz w:val="18"/>
      <w:szCs w:val="18"/>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99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0BC4B-0631-4736-B160-E5FE05F5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31</Pages>
  <Words>15144</Words>
  <Characters>83294</Characters>
  <Application>Microsoft Office Word</Application>
  <DocSecurity>0</DocSecurity>
  <Lines>694</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galleguillos</dc:creator>
  <cp:keywords/>
  <dc:description/>
  <cp:lastModifiedBy>jenny galleguillos</cp:lastModifiedBy>
  <cp:revision>44</cp:revision>
  <cp:lastPrinted>2026-08-05T14:14:00Z</cp:lastPrinted>
  <dcterms:created xsi:type="dcterms:W3CDTF">2026-08-06T21:13:00Z</dcterms:created>
  <dcterms:modified xsi:type="dcterms:W3CDTF">2026-08-07T00:12:00Z</dcterms:modified>
</cp:coreProperties>
</file>